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F1" w:rsidRDefault="00B14BF1" w:rsidP="00B14BF1">
      <w:pPr>
        <w:rPr>
          <w:b/>
          <w:bCs/>
        </w:rPr>
      </w:pPr>
      <w:r>
        <w:rPr>
          <w:b/>
          <w:bCs/>
        </w:rPr>
        <w:t>Anexa nr. 1</w:t>
      </w:r>
    </w:p>
    <w:p w:rsidR="00B14BF1" w:rsidRPr="00B14BF1" w:rsidRDefault="00B14BF1" w:rsidP="00B14BF1">
      <w:pPr>
        <w:jc w:val="center"/>
        <w:rPr>
          <w:i/>
          <w:iCs/>
          <w:sz w:val="32"/>
          <w:szCs w:val="32"/>
        </w:rPr>
      </w:pPr>
      <w:r w:rsidRPr="00B14BF1">
        <w:rPr>
          <w:i/>
          <w:iCs/>
          <w:sz w:val="32"/>
          <w:szCs w:val="32"/>
        </w:rPr>
        <w:t>Formularul de auto-evaluare a performanțelor, în vederea obținerii unei gradații de merit</w:t>
      </w:r>
    </w:p>
    <w:p w:rsidR="00B14BF1" w:rsidRDefault="00B14BF1" w:rsidP="00683518">
      <w:pPr>
        <w:suppressAutoHyphens/>
        <w:spacing w:line="276" w:lineRule="auto"/>
        <w:outlineLvl w:val="5"/>
        <w:rPr>
          <w:b/>
          <w:bCs/>
        </w:rPr>
      </w:pPr>
    </w:p>
    <w:p w:rsidR="00683518" w:rsidRDefault="00B14BF1" w:rsidP="00683518">
      <w:pPr>
        <w:suppressAutoHyphens/>
        <w:spacing w:line="276" w:lineRule="auto"/>
        <w:outlineLvl w:val="5"/>
        <w:rPr>
          <w:b/>
          <w:bCs/>
        </w:rPr>
      </w:pPr>
      <w:r>
        <w:rPr>
          <w:b/>
          <w:bCs/>
        </w:rPr>
        <w:t>Facultatea de Filosofie şi Ştiinţe Social-Politice, Departamentul</w:t>
      </w:r>
      <w:r w:rsidR="00683518">
        <w:rPr>
          <w:b/>
          <w:bCs/>
        </w:rPr>
        <w:t xml:space="preserve"> de </w:t>
      </w:r>
      <w:r w:rsidR="001D5864">
        <w:rPr>
          <w:b/>
          <w:bCs/>
        </w:rPr>
        <w:t>Filosofie</w:t>
      </w:r>
    </w:p>
    <w:p w:rsidR="00683518" w:rsidRDefault="00683518" w:rsidP="00683518">
      <w:pPr>
        <w:suppressAutoHyphens/>
        <w:spacing w:line="276" w:lineRule="auto"/>
        <w:outlineLvl w:val="5"/>
        <w:rPr>
          <w:b/>
          <w:bCs/>
        </w:rPr>
      </w:pPr>
    </w:p>
    <w:p w:rsidR="001D5864" w:rsidRDefault="00B14BF1" w:rsidP="00B14BF1">
      <w:pPr>
        <w:shd w:val="clear" w:color="auto" w:fill="FFFFFF"/>
        <w:spacing w:after="100" w:afterAutospacing="1"/>
        <w:rPr>
          <w:b/>
        </w:rPr>
      </w:pPr>
      <w:r w:rsidRPr="00B14BF1">
        <w:rPr>
          <w:b/>
          <w:bCs/>
        </w:rPr>
        <w:t>Criteriul I. ACTIVITATEA DE CERCETARE (40% )</w:t>
      </w:r>
      <w:r>
        <w:rPr>
          <w:b/>
          <w:bCs/>
        </w:rPr>
        <w:t xml:space="preserve"> preia  indicatorii din </w:t>
      </w:r>
      <w:r w:rsidR="001D5864" w:rsidRPr="00C650AA">
        <w:rPr>
          <w:b/>
          <w:bCs/>
        </w:rPr>
        <w:t xml:space="preserve">ANEXA NR. </w:t>
      </w:r>
      <w:r w:rsidR="001D5864">
        <w:rPr>
          <w:b/>
          <w:bCs/>
        </w:rPr>
        <w:t>30</w:t>
      </w:r>
      <w:r w:rsidR="001D5864" w:rsidRPr="00C650AA">
        <w:rPr>
          <w:b/>
          <w:bCs/>
        </w:rPr>
        <w:t xml:space="preserve"> – COMISIA DE </w:t>
      </w:r>
      <w:r w:rsidR="001D5864">
        <w:rPr>
          <w:b/>
          <w:bCs/>
        </w:rPr>
        <w:t>FILOSOFIE</w:t>
      </w:r>
      <w:r>
        <w:rPr>
          <w:b/>
          <w:bCs/>
        </w:rPr>
        <w:t xml:space="preserve">;  </w:t>
      </w:r>
      <w:r w:rsidR="001D5864" w:rsidRPr="00C650AA">
        <w:rPr>
          <w:b/>
        </w:rPr>
        <w:t xml:space="preserve">STANDARDE MINIMALE NECESARE ȘI OBLIGATORII PENTRU CONFERIREA TITLURILOR DIDACTICE DIN ÎNVĂȚĂMÂNTUL SUPERIOR ȘI A GRADELOR PROFESIONALE DE CERCETARE </w:t>
      </w:r>
      <w:r w:rsidR="001D5864">
        <w:rPr>
          <w:b/>
        </w:rPr>
        <w:t>–</w:t>
      </w:r>
      <w:r w:rsidR="001D5864" w:rsidRPr="00C650AA">
        <w:rPr>
          <w:b/>
        </w:rPr>
        <w:t>DEZVOLTARE</w:t>
      </w:r>
      <w:r>
        <w:rPr>
          <w:b/>
        </w:rPr>
        <w:t>; ordin 6129/2016</w:t>
      </w:r>
    </w:p>
    <w:p w:rsidR="001D5864" w:rsidRPr="00B14BF1" w:rsidRDefault="001D5864" w:rsidP="001D5864">
      <w:pPr>
        <w:shd w:val="clear" w:color="auto" w:fill="FFFFFF"/>
        <w:spacing w:before="100" w:beforeAutospacing="1" w:after="100" w:afterAutospacing="1"/>
        <w:ind w:firstLine="720"/>
        <w:rPr>
          <w:lang w:val="en-US"/>
        </w:rPr>
      </w:pPr>
      <w:r w:rsidRPr="00B14BF1">
        <w:rPr>
          <w:b/>
          <w:bCs/>
        </w:rPr>
        <w:t>2.1. Definitii si conditii</w:t>
      </w:r>
    </w:p>
    <w:p w:rsidR="001D5864" w:rsidRPr="008D69FD" w:rsidRDefault="001D5864" w:rsidP="001D5864">
      <w:pPr>
        <w:numPr>
          <w:ilvl w:val="0"/>
          <w:numId w:val="3"/>
        </w:numPr>
        <w:tabs>
          <w:tab w:val="left" w:pos="185"/>
        </w:tabs>
        <w:spacing w:line="218" w:lineRule="auto"/>
        <w:ind w:right="20"/>
        <w:jc w:val="both"/>
        <w:rPr>
          <w:rFonts w:eastAsia="Calibri"/>
        </w:rPr>
      </w:pPr>
      <w:r w:rsidRPr="008D69FD">
        <w:rPr>
          <w:rFonts w:eastAsia="Calibri"/>
          <w:i/>
          <w:iCs/>
        </w:rPr>
        <w:t xml:space="preserve">n </w:t>
      </w:r>
      <w:r w:rsidRPr="008D69FD">
        <w:rPr>
          <w:rFonts w:eastAsia="Calibri"/>
        </w:rPr>
        <w:t>reprezintă numărul de autori ai unei publicaţii la care candidata /candidatul este autor sau coautor, respectiv</w:t>
      </w:r>
      <w:r w:rsidRPr="008D69FD">
        <w:rPr>
          <w:rFonts w:eastAsia="Calibri"/>
          <w:i/>
          <w:iCs/>
        </w:rPr>
        <w:t xml:space="preserve"> </w:t>
      </w:r>
      <w:r w:rsidRPr="008D69FD">
        <w:rPr>
          <w:rFonts w:eastAsia="Calibri"/>
        </w:rPr>
        <w:t>numărul de traducători /editori ai unei publicaţii la care candidata /candidatul este traducător /editor.</w:t>
      </w:r>
    </w:p>
    <w:p w:rsidR="001D5864" w:rsidRPr="008D69FD" w:rsidRDefault="001D5864" w:rsidP="001D5864">
      <w:pPr>
        <w:spacing w:line="49" w:lineRule="exact"/>
        <w:jc w:val="both"/>
        <w:rPr>
          <w:rFonts w:eastAsia="Calibri"/>
        </w:rPr>
      </w:pPr>
    </w:p>
    <w:p w:rsidR="001D5864" w:rsidRPr="00BD1009" w:rsidRDefault="001D5864" w:rsidP="001D5864">
      <w:pPr>
        <w:numPr>
          <w:ilvl w:val="0"/>
          <w:numId w:val="3"/>
        </w:numPr>
        <w:tabs>
          <w:tab w:val="left" w:pos="187"/>
        </w:tabs>
        <w:spacing w:line="231" w:lineRule="auto"/>
        <w:jc w:val="both"/>
        <w:rPr>
          <w:rFonts w:eastAsia="Calibri"/>
        </w:rPr>
      </w:pPr>
      <w:r w:rsidRPr="008D69FD">
        <w:rPr>
          <w:rFonts w:eastAsia="Calibri"/>
        </w:rPr>
        <w:t xml:space="preserve">În categoria „carte </w:t>
      </w:r>
      <w:r w:rsidRPr="00BD1009">
        <w:rPr>
          <w:rFonts w:eastAsia="Calibri"/>
        </w:rPr>
        <w:t xml:space="preserve">internațională” (de la indicatorii I.1 –I.3 şi I.4, I.6) se încadrează orice carte publicată într-o limbă de largă circulație internațională (engleză, franceză, germană, italiană, spaniolă) la o editură cu prestigiu internațional, inclusă în lista </w:t>
      </w:r>
      <w:r w:rsidRPr="00422B95">
        <w:rPr>
          <w:rFonts w:eastAsia="Calibri"/>
        </w:rPr>
        <w:t>“</w:t>
      </w:r>
      <w:r w:rsidRPr="00BD1009">
        <w:rPr>
          <w:rFonts w:eastAsia="Calibri"/>
        </w:rPr>
        <w:t>Arte şi ştiinţe umaniste</w:t>
      </w:r>
      <w:r w:rsidRPr="00422B95">
        <w:rPr>
          <w:rFonts w:eastAsia="Calibri"/>
        </w:rPr>
        <w:t>”</w:t>
      </w:r>
      <w:r w:rsidRPr="00BD1009">
        <w:rPr>
          <w:rFonts w:eastAsia="Calibri"/>
        </w:rPr>
        <w:t xml:space="preserve"> a CNCS sau lista A a CNATDCU; Ruta complementară: orice carte disponibilă în cel puţin 12 biblioteci ale unor instituţii de învăţământ superior și/sau de cercetare din celelalte state membre ale Uniunii Europene sau din statele membre ale OCDE, indexate în Karlsruhe Virtual Catalog KVK (http://www.ubka.uni-karlsruhe.de/kvk_en.html) </w:t>
      </w:r>
      <w:r w:rsidRPr="00BD1009">
        <w:rPr>
          <w:rFonts w:eastAsia="Arial"/>
        </w:rPr>
        <w:t>sau WorldCat (http:</w:t>
      </w:r>
      <w:r w:rsidRPr="00BD1009">
        <w:rPr>
          <w:bCs/>
        </w:rPr>
        <w:t xml:space="preserve"> //www.worldcat.org/). </w:t>
      </w:r>
    </w:p>
    <w:p w:rsidR="001D5864" w:rsidRPr="008D69FD" w:rsidRDefault="001D5864" w:rsidP="001D5864">
      <w:pPr>
        <w:numPr>
          <w:ilvl w:val="0"/>
          <w:numId w:val="4"/>
        </w:numPr>
        <w:tabs>
          <w:tab w:val="left" w:pos="165"/>
        </w:tabs>
        <w:spacing w:line="218" w:lineRule="auto"/>
        <w:ind w:right="20"/>
        <w:jc w:val="both"/>
        <w:rPr>
          <w:rFonts w:eastAsia="Calibri"/>
        </w:rPr>
      </w:pPr>
      <w:r w:rsidRPr="008D69FD">
        <w:rPr>
          <w:rFonts w:eastAsia="Calibri"/>
        </w:rPr>
        <w:t>O publicaţie se încadrează la un singur indicator, luându-se în considerare încadrarea cea mai favorabilă candidatei /candidatului. Menţionarea fiecărei publicaţii trebuie însoţită de date de identificare informatică relevante.</w:t>
      </w:r>
    </w:p>
    <w:p w:rsidR="001D5864" w:rsidRPr="008D69FD" w:rsidRDefault="001D5864" w:rsidP="001D5864">
      <w:pPr>
        <w:spacing w:line="49" w:lineRule="exact"/>
        <w:jc w:val="both"/>
        <w:rPr>
          <w:rFonts w:eastAsia="Calibri"/>
        </w:rPr>
      </w:pPr>
    </w:p>
    <w:p w:rsidR="001D5864" w:rsidRPr="008D69FD" w:rsidRDefault="001D5864" w:rsidP="001D5864">
      <w:pPr>
        <w:numPr>
          <w:ilvl w:val="0"/>
          <w:numId w:val="4"/>
        </w:numPr>
        <w:tabs>
          <w:tab w:val="left" w:pos="259"/>
        </w:tabs>
        <w:spacing w:line="218" w:lineRule="auto"/>
        <w:ind w:right="20"/>
        <w:jc w:val="both"/>
        <w:rPr>
          <w:rFonts w:eastAsia="Calibri"/>
        </w:rPr>
      </w:pPr>
      <w:r w:rsidRPr="008D69FD">
        <w:rPr>
          <w:rFonts w:eastAsia="Calibri"/>
        </w:rPr>
        <w:t>Recunoașterea /clasificarea unei edituri sau indexarea unei reviste este cea valabilă în anul publicării cărții sau articolului menționate.</w:t>
      </w:r>
    </w:p>
    <w:p w:rsidR="001D5864" w:rsidRDefault="001D5864" w:rsidP="001D5864">
      <w:pPr>
        <w:numPr>
          <w:ilvl w:val="0"/>
          <w:numId w:val="4"/>
        </w:numPr>
        <w:tabs>
          <w:tab w:val="left" w:pos="160"/>
        </w:tabs>
        <w:ind w:left="160" w:hanging="160"/>
        <w:rPr>
          <w:rFonts w:eastAsia="Calibri"/>
        </w:rPr>
      </w:pPr>
      <w:r w:rsidRPr="008D69FD">
        <w:rPr>
          <w:rFonts w:eastAsia="Calibri"/>
        </w:rPr>
        <w:t>Pentru Filosofie, bazele de date internaţionale recunoscute sunt următoarele:</w:t>
      </w:r>
    </w:p>
    <w:p w:rsidR="001D5864" w:rsidRPr="008D69FD" w:rsidRDefault="001D5864" w:rsidP="001D5864">
      <w:pPr>
        <w:tabs>
          <w:tab w:val="left" w:pos="160"/>
        </w:tabs>
        <w:ind w:left="160"/>
        <w:rPr>
          <w:rFonts w:eastAsia="Calibri"/>
        </w:rPr>
      </w:pPr>
    </w:p>
    <w:tbl>
      <w:tblPr>
        <w:tblW w:w="4842" w:type="pct"/>
        <w:tblInd w:w="324" w:type="dxa"/>
        <w:tblCellMar>
          <w:left w:w="0" w:type="dxa"/>
          <w:right w:w="0" w:type="dxa"/>
        </w:tblCellMar>
        <w:tblLook w:val="0000" w:firstRow="0" w:lastRow="0" w:firstColumn="0" w:lastColumn="0" w:noHBand="0" w:noVBand="0"/>
      </w:tblPr>
      <w:tblGrid>
        <w:gridCol w:w="644"/>
        <w:gridCol w:w="3154"/>
        <w:gridCol w:w="5020"/>
      </w:tblGrid>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Nr. crt.</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Denumirea bazei de date</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Adresa web</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1</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ISI Web of Knowledge</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www.webofknowledge.com</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2</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ERIH (ERIH PLUS)</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https://dbh.nsd.uib.no/publiseringskanaler/erihplus/</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3</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Scopus</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www.scopus.com</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4</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EBSCO</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www.ebscohost.com</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5</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JSTOR</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www.jstor.org</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6</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ProQuest</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www.proquest.com</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7</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ProjectMuse</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http://muse.jhu.edu/</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8</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Philosophy Documentation Center</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www.pdcnet.org</w:t>
            </w:r>
          </w:p>
        </w:tc>
      </w:tr>
      <w:tr w:rsidR="001D5864" w:rsidRPr="008D69FD" w:rsidTr="00C85764">
        <w:trPr>
          <w:trHeight w:val="20"/>
        </w:trPr>
        <w:tc>
          <w:tcPr>
            <w:tcW w:w="427" w:type="pc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9</w:t>
            </w:r>
          </w:p>
        </w:tc>
        <w:tc>
          <w:tcPr>
            <w:tcW w:w="1850"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CEEOL</w:t>
            </w:r>
          </w:p>
        </w:tc>
        <w:tc>
          <w:tcPr>
            <w:tcW w:w="272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1D5864" w:rsidRPr="008D69FD" w:rsidRDefault="001D5864" w:rsidP="00C85764">
            <w:pPr>
              <w:shd w:val="clear" w:color="auto" w:fill="FFFFFF"/>
              <w:spacing w:before="100" w:beforeAutospacing="1" w:after="100" w:afterAutospacing="1" w:line="20" w:lineRule="atLeast"/>
              <w:jc w:val="center"/>
              <w:rPr>
                <w:bCs/>
              </w:rPr>
            </w:pPr>
            <w:r w:rsidRPr="008D69FD">
              <w:rPr>
                <w:bCs/>
              </w:rPr>
              <w:t>www.ceeol.com</w:t>
            </w:r>
          </w:p>
        </w:tc>
      </w:tr>
    </w:tbl>
    <w:p w:rsidR="001D5864" w:rsidRDefault="001D5864" w:rsidP="001D5864">
      <w:pPr>
        <w:shd w:val="clear" w:color="auto" w:fill="FFFFFF"/>
        <w:spacing w:before="100" w:beforeAutospacing="1" w:after="100" w:afterAutospacing="1"/>
        <w:ind w:firstLine="720"/>
      </w:pPr>
    </w:p>
    <w:p w:rsidR="001D5864" w:rsidRDefault="001D5864" w:rsidP="001D5864">
      <w:pPr>
        <w:shd w:val="clear" w:color="auto" w:fill="FFFFFF"/>
        <w:ind w:firstLine="720"/>
      </w:pPr>
      <w:r>
        <w:br w:type="page"/>
      </w:r>
    </w:p>
    <w:p w:rsidR="001D5864" w:rsidRPr="008D69FD" w:rsidRDefault="001D5864" w:rsidP="00B14BF1">
      <w:pPr>
        <w:pStyle w:val="ListParagraph"/>
        <w:shd w:val="clear" w:color="auto" w:fill="FFFFFF"/>
        <w:spacing w:after="100" w:afterAutospacing="1"/>
        <w:ind w:left="1440"/>
      </w:pPr>
      <w:r w:rsidRPr="008D69FD">
        <w:lastRenderedPageBreak/>
        <w:t>Se acordă următoarele punctaje: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12"/>
        <w:gridCol w:w="1701"/>
        <w:gridCol w:w="1524"/>
      </w:tblGrid>
      <w:tr w:rsidR="001D5864" w:rsidRPr="003C6E5B" w:rsidTr="00C85764">
        <w:trPr>
          <w:trHeight w:val="1025"/>
        </w:trPr>
        <w:tc>
          <w:tcPr>
            <w:tcW w:w="1418" w:type="dxa"/>
            <w:shd w:val="clear" w:color="auto" w:fill="auto"/>
            <w:vAlign w:val="center"/>
          </w:tcPr>
          <w:p w:rsidR="001D5864" w:rsidRPr="003C6E5B" w:rsidRDefault="001D5864" w:rsidP="00C85764">
            <w:pPr>
              <w:ind w:left="100"/>
              <w:jc w:val="center"/>
              <w:rPr>
                <w:sz w:val="22"/>
                <w:szCs w:val="22"/>
              </w:rPr>
            </w:pPr>
            <w:r w:rsidRPr="003C6E5B">
              <w:rPr>
                <w:rFonts w:eastAsia="Calibri"/>
                <w:b/>
                <w:bCs/>
                <w:sz w:val="22"/>
                <w:szCs w:val="22"/>
              </w:rPr>
              <w:t>Indicatorul</w:t>
            </w:r>
          </w:p>
        </w:tc>
        <w:tc>
          <w:tcPr>
            <w:tcW w:w="5812" w:type="dxa"/>
            <w:shd w:val="clear" w:color="auto" w:fill="auto"/>
            <w:vAlign w:val="center"/>
          </w:tcPr>
          <w:p w:rsidR="001D5864" w:rsidRPr="003C6E5B" w:rsidRDefault="001D5864" w:rsidP="00C85764">
            <w:pPr>
              <w:ind w:left="219"/>
              <w:jc w:val="center"/>
              <w:rPr>
                <w:sz w:val="22"/>
                <w:szCs w:val="22"/>
              </w:rPr>
            </w:pPr>
            <w:r w:rsidRPr="003C6E5B">
              <w:rPr>
                <w:rFonts w:eastAsia="Calibri"/>
                <w:b/>
                <w:bCs/>
                <w:sz w:val="22"/>
                <w:szCs w:val="22"/>
              </w:rPr>
              <w:t>Denumirea indicatorului</w:t>
            </w:r>
          </w:p>
        </w:tc>
        <w:tc>
          <w:tcPr>
            <w:tcW w:w="1701" w:type="dxa"/>
            <w:shd w:val="clear" w:color="auto" w:fill="auto"/>
            <w:vAlign w:val="center"/>
          </w:tcPr>
          <w:p w:rsidR="001D5864" w:rsidRPr="003C6E5B" w:rsidRDefault="001D5864" w:rsidP="00C85764">
            <w:pPr>
              <w:jc w:val="center"/>
              <w:rPr>
                <w:rFonts w:eastAsia="Calibri"/>
                <w:b/>
                <w:bCs/>
                <w:sz w:val="22"/>
                <w:szCs w:val="22"/>
              </w:rPr>
            </w:pPr>
            <w:r w:rsidRPr="003C6E5B">
              <w:rPr>
                <w:rFonts w:eastAsia="Calibri"/>
                <w:b/>
                <w:bCs/>
                <w:sz w:val="22"/>
                <w:szCs w:val="22"/>
              </w:rPr>
              <w:t>Punctajul</w:t>
            </w:r>
          </w:p>
        </w:tc>
        <w:tc>
          <w:tcPr>
            <w:tcW w:w="1524" w:type="dxa"/>
            <w:shd w:val="clear" w:color="auto" w:fill="auto"/>
          </w:tcPr>
          <w:p w:rsidR="001D5864" w:rsidRPr="003C6E5B" w:rsidRDefault="001D5864" w:rsidP="00C85764">
            <w:pPr>
              <w:jc w:val="center"/>
              <w:rPr>
                <w:rFonts w:eastAsia="Calibri"/>
                <w:b/>
                <w:bCs/>
                <w:sz w:val="22"/>
                <w:szCs w:val="22"/>
              </w:rPr>
            </w:pPr>
            <w:r w:rsidRPr="003C6E5B">
              <w:rPr>
                <w:rFonts w:eastAsia="Calibri"/>
                <w:b/>
                <w:bCs/>
                <w:sz w:val="22"/>
                <w:szCs w:val="22"/>
              </w:rPr>
              <w:t>Elementul pentru care se acordă punctajul</w:t>
            </w:r>
          </w:p>
        </w:tc>
      </w:tr>
      <w:tr w:rsidR="001D5864" w:rsidRPr="003C6E5B" w:rsidTr="00C85764">
        <w:trPr>
          <w:trHeight w:val="470"/>
        </w:trPr>
        <w:tc>
          <w:tcPr>
            <w:tcW w:w="1418" w:type="dxa"/>
            <w:vMerge w:val="restart"/>
            <w:tcBorders>
              <w:bottom w:val="single" w:sz="4" w:space="0" w:color="auto"/>
            </w:tcBorders>
            <w:shd w:val="clear" w:color="auto" w:fill="auto"/>
          </w:tcPr>
          <w:p w:rsidR="001D5864" w:rsidRPr="003C6E5B" w:rsidRDefault="001D5864" w:rsidP="00C85764">
            <w:pPr>
              <w:spacing w:line="232" w:lineRule="exact"/>
              <w:ind w:left="100"/>
              <w:jc w:val="center"/>
              <w:rPr>
                <w:sz w:val="22"/>
                <w:szCs w:val="22"/>
              </w:rPr>
            </w:pPr>
            <w:r w:rsidRPr="003C6E5B">
              <w:rPr>
                <w:rFonts w:eastAsia="Calibri"/>
                <w:b/>
                <w:bCs/>
                <w:sz w:val="22"/>
                <w:szCs w:val="22"/>
              </w:rPr>
              <w:t>I. 1</w:t>
            </w:r>
          </w:p>
        </w:tc>
        <w:tc>
          <w:tcPr>
            <w:tcW w:w="5812" w:type="dxa"/>
            <w:vMerge w:val="restart"/>
            <w:tcBorders>
              <w:bottom w:val="single" w:sz="4" w:space="0" w:color="auto"/>
            </w:tcBorders>
            <w:shd w:val="clear" w:color="auto" w:fill="auto"/>
            <w:vAlign w:val="bottom"/>
          </w:tcPr>
          <w:p w:rsidR="001D5864" w:rsidRPr="003C6E5B" w:rsidRDefault="001D5864" w:rsidP="00C85764">
            <w:pPr>
              <w:spacing w:line="232" w:lineRule="exact"/>
              <w:ind w:left="80"/>
              <w:rPr>
                <w:sz w:val="22"/>
                <w:szCs w:val="22"/>
              </w:rPr>
            </w:pPr>
            <w:r w:rsidRPr="003C6E5B">
              <w:rPr>
                <w:rFonts w:eastAsia="Calibri"/>
                <w:sz w:val="22"/>
                <w:szCs w:val="22"/>
              </w:rPr>
              <w:t>Monografie de autor pe o temă importantă a filosofiei sau lucrare de sinteză în care se prezintă situaţia actuală a unei discipline filosofice ori comentariu critic/analitic la opere filosofice fundamentale – publicate la edituri cu prestigiu internaţional sau naţional (recunoscute /clasificate CNCS)</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1.1. internațională</w:t>
            </w:r>
          </w:p>
          <w:p w:rsidR="001D5864" w:rsidRPr="003C6E5B" w:rsidRDefault="001D5864" w:rsidP="00C85764">
            <w:pPr>
              <w:spacing w:line="243" w:lineRule="exact"/>
              <w:jc w:val="center"/>
              <w:rPr>
                <w:rFonts w:eastAsia="Calibri"/>
                <w:sz w:val="22"/>
                <w:szCs w:val="22"/>
              </w:rPr>
            </w:pPr>
            <w:r w:rsidRPr="003C6E5B">
              <w:rPr>
                <w:rFonts w:eastAsia="Calibri"/>
                <w:sz w:val="22"/>
                <w:szCs w:val="22"/>
              </w:rPr>
              <w:t>45/n</w:t>
            </w:r>
          </w:p>
        </w:tc>
        <w:tc>
          <w:tcPr>
            <w:tcW w:w="1524" w:type="dxa"/>
            <w:vMerge w:val="restart"/>
            <w:tcBorders>
              <w:bottom w:val="single" w:sz="4" w:space="0" w:color="auto"/>
            </w:tcBorders>
            <w:shd w:val="clear" w:color="auto" w:fill="auto"/>
          </w:tcPr>
          <w:p w:rsidR="001D5864" w:rsidRPr="003C6E5B" w:rsidRDefault="001D5864" w:rsidP="00C85764">
            <w:pPr>
              <w:ind w:left="100"/>
              <w:jc w:val="center"/>
              <w:rPr>
                <w:sz w:val="22"/>
                <w:szCs w:val="22"/>
              </w:rPr>
            </w:pPr>
            <w:r w:rsidRPr="003C6E5B">
              <w:rPr>
                <w:rFonts w:eastAsia="Calibri"/>
                <w:sz w:val="22"/>
                <w:szCs w:val="22"/>
              </w:rPr>
              <w:t>Pe publicaţie</w:t>
            </w:r>
          </w:p>
        </w:tc>
      </w:tr>
      <w:tr w:rsidR="001D5864" w:rsidRPr="003C6E5B" w:rsidTr="00C85764">
        <w:trPr>
          <w:trHeight w:val="450"/>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1.2 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30/n</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75"/>
        </w:trPr>
        <w:tc>
          <w:tcPr>
            <w:tcW w:w="1418" w:type="dxa"/>
            <w:vMerge w:val="restart"/>
            <w:tcBorders>
              <w:bottom w:val="single" w:sz="4" w:space="0" w:color="auto"/>
            </w:tcBorders>
            <w:shd w:val="clear" w:color="auto" w:fill="auto"/>
          </w:tcPr>
          <w:p w:rsidR="001D5864" w:rsidRPr="003C6E5B" w:rsidRDefault="001D5864" w:rsidP="00C85764">
            <w:pPr>
              <w:spacing w:line="232" w:lineRule="exact"/>
              <w:ind w:left="100"/>
              <w:jc w:val="center"/>
              <w:rPr>
                <w:sz w:val="22"/>
                <w:szCs w:val="22"/>
              </w:rPr>
            </w:pPr>
            <w:r w:rsidRPr="003C6E5B">
              <w:rPr>
                <w:rFonts w:eastAsia="Calibri"/>
                <w:b/>
                <w:bCs/>
                <w:sz w:val="22"/>
                <w:szCs w:val="22"/>
              </w:rPr>
              <w:t>I. 2</w:t>
            </w:r>
          </w:p>
        </w:tc>
        <w:tc>
          <w:tcPr>
            <w:tcW w:w="5812" w:type="dxa"/>
            <w:vMerge w:val="restart"/>
            <w:tcBorders>
              <w:bottom w:val="single" w:sz="4" w:space="0" w:color="auto"/>
            </w:tcBorders>
            <w:shd w:val="clear" w:color="auto" w:fill="auto"/>
            <w:vAlign w:val="bottom"/>
          </w:tcPr>
          <w:p w:rsidR="001D5864" w:rsidRPr="003C6E5B" w:rsidRDefault="001D5864" w:rsidP="00C85764">
            <w:pPr>
              <w:spacing w:line="232" w:lineRule="exact"/>
              <w:ind w:left="80"/>
              <w:rPr>
                <w:sz w:val="22"/>
                <w:szCs w:val="22"/>
              </w:rPr>
            </w:pPr>
            <w:r w:rsidRPr="003C6E5B">
              <w:rPr>
                <w:rFonts w:eastAsia="Calibri"/>
                <w:sz w:val="22"/>
                <w:szCs w:val="22"/>
              </w:rPr>
              <w:t>Manual sau tratat pe teme din domeniul de specialitate al candidatei /candidatului ori editarea cu comentariu critic a unei opere fundamentale a filosofiei universale – publicate la edituri cu prestigiu internaţional sau naţional (recunoscute /clasificate CNCS)</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2.1 internațională</w:t>
            </w:r>
          </w:p>
          <w:p w:rsidR="001D5864" w:rsidRPr="003C6E5B" w:rsidRDefault="001D5864" w:rsidP="00C85764">
            <w:pPr>
              <w:jc w:val="center"/>
              <w:rPr>
                <w:rFonts w:eastAsia="Calibri"/>
                <w:sz w:val="22"/>
                <w:szCs w:val="22"/>
              </w:rPr>
            </w:pPr>
            <w:r w:rsidRPr="003C6E5B">
              <w:rPr>
                <w:rFonts w:eastAsia="Calibri"/>
                <w:sz w:val="22"/>
                <w:szCs w:val="22"/>
              </w:rPr>
              <w:t>45/n</w:t>
            </w:r>
          </w:p>
        </w:tc>
        <w:tc>
          <w:tcPr>
            <w:tcW w:w="1524" w:type="dxa"/>
            <w:vMerge w:val="restart"/>
            <w:tcBorders>
              <w:bottom w:val="single" w:sz="4" w:space="0" w:color="auto"/>
            </w:tcBorders>
            <w:shd w:val="clear" w:color="auto" w:fill="auto"/>
          </w:tcPr>
          <w:p w:rsidR="001D5864" w:rsidRPr="003C6E5B" w:rsidRDefault="001D5864" w:rsidP="00C85764">
            <w:pPr>
              <w:jc w:val="center"/>
              <w:rPr>
                <w:sz w:val="22"/>
                <w:szCs w:val="22"/>
              </w:rPr>
            </w:pPr>
            <w:r w:rsidRPr="003C6E5B">
              <w:rPr>
                <w:rFonts w:eastAsia="Calibri"/>
                <w:sz w:val="22"/>
                <w:szCs w:val="22"/>
              </w:rPr>
              <w:t>Pe publicaţie</w:t>
            </w:r>
          </w:p>
        </w:tc>
      </w:tr>
      <w:tr w:rsidR="001D5864" w:rsidRPr="003C6E5B" w:rsidTr="00C85764">
        <w:trPr>
          <w:trHeight w:val="475"/>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spacing w:line="232" w:lineRule="exact"/>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2.1 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30/n</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75"/>
        </w:trPr>
        <w:tc>
          <w:tcPr>
            <w:tcW w:w="1418" w:type="dxa"/>
            <w:vMerge w:val="restart"/>
            <w:tcBorders>
              <w:bottom w:val="single" w:sz="4" w:space="0" w:color="auto"/>
            </w:tcBorders>
            <w:shd w:val="clear" w:color="auto" w:fill="auto"/>
          </w:tcPr>
          <w:p w:rsidR="001D5864" w:rsidRPr="003C6E5B" w:rsidRDefault="001D5864" w:rsidP="00C85764">
            <w:pPr>
              <w:spacing w:line="229" w:lineRule="exact"/>
              <w:ind w:left="100"/>
              <w:jc w:val="center"/>
              <w:rPr>
                <w:sz w:val="22"/>
                <w:szCs w:val="22"/>
              </w:rPr>
            </w:pPr>
            <w:r w:rsidRPr="003C6E5B">
              <w:rPr>
                <w:rFonts w:eastAsia="Calibri"/>
                <w:b/>
                <w:bCs/>
                <w:sz w:val="22"/>
                <w:szCs w:val="22"/>
              </w:rPr>
              <w:t>I. 3</w:t>
            </w:r>
          </w:p>
        </w:tc>
        <w:tc>
          <w:tcPr>
            <w:tcW w:w="5812" w:type="dxa"/>
            <w:vMerge w:val="restart"/>
            <w:tcBorders>
              <w:bottom w:val="single" w:sz="4" w:space="0" w:color="auto"/>
            </w:tcBorders>
            <w:shd w:val="clear" w:color="auto" w:fill="auto"/>
            <w:vAlign w:val="bottom"/>
          </w:tcPr>
          <w:p w:rsidR="001D5864" w:rsidRPr="003C6E5B" w:rsidRDefault="001D5864" w:rsidP="00C85764">
            <w:pPr>
              <w:spacing w:line="229" w:lineRule="exact"/>
              <w:ind w:left="80"/>
              <w:rPr>
                <w:sz w:val="22"/>
                <w:szCs w:val="22"/>
              </w:rPr>
            </w:pPr>
            <w:r w:rsidRPr="003C6E5B">
              <w:rPr>
                <w:rFonts w:eastAsia="Calibri"/>
                <w:sz w:val="22"/>
                <w:szCs w:val="22"/>
              </w:rPr>
              <w:t>Traducerea cu comentariu a unei opere fundamentale a filosofiei sau o antologie de texte-sursă ori un volum de studii sau editarea unui volum colectiv de specialitate – publicate la edituri cu prestigiu internaţional sau naţional (recunoscute /clasificate CNCS)</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3.1 internațională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30/n</w:t>
            </w:r>
          </w:p>
        </w:tc>
        <w:tc>
          <w:tcPr>
            <w:tcW w:w="1524" w:type="dxa"/>
            <w:vMerge w:val="restart"/>
            <w:tcBorders>
              <w:bottom w:val="single" w:sz="4" w:space="0" w:color="auto"/>
            </w:tcBorders>
            <w:shd w:val="clear" w:color="auto" w:fill="auto"/>
          </w:tcPr>
          <w:p w:rsidR="001D5864" w:rsidRPr="003C6E5B" w:rsidRDefault="001D5864" w:rsidP="00C85764">
            <w:pPr>
              <w:jc w:val="center"/>
              <w:rPr>
                <w:sz w:val="22"/>
                <w:szCs w:val="22"/>
              </w:rPr>
            </w:pPr>
            <w:r w:rsidRPr="003C6E5B">
              <w:rPr>
                <w:rFonts w:eastAsia="Calibri"/>
                <w:sz w:val="22"/>
                <w:szCs w:val="22"/>
              </w:rPr>
              <w:t>Pe publicaţie</w:t>
            </w:r>
          </w:p>
        </w:tc>
      </w:tr>
      <w:tr w:rsidR="001D5864" w:rsidRPr="003C6E5B" w:rsidTr="00C85764">
        <w:trPr>
          <w:trHeight w:val="475"/>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spacing w:line="235" w:lineRule="exact"/>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3.1 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20/n</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1477"/>
        </w:trPr>
        <w:tc>
          <w:tcPr>
            <w:tcW w:w="1418" w:type="dxa"/>
            <w:shd w:val="clear" w:color="auto" w:fill="auto"/>
          </w:tcPr>
          <w:p w:rsidR="001D5864" w:rsidRPr="003C6E5B" w:rsidRDefault="001D5864" w:rsidP="00C85764">
            <w:pPr>
              <w:spacing w:line="243" w:lineRule="exact"/>
              <w:ind w:left="100"/>
              <w:jc w:val="center"/>
              <w:rPr>
                <w:sz w:val="22"/>
                <w:szCs w:val="22"/>
              </w:rPr>
            </w:pPr>
            <w:r w:rsidRPr="003C6E5B">
              <w:rPr>
                <w:rFonts w:eastAsia="Calibri"/>
                <w:b/>
                <w:bCs/>
                <w:sz w:val="22"/>
                <w:szCs w:val="22"/>
              </w:rPr>
              <w:t>I. 4</w:t>
            </w:r>
          </w:p>
        </w:tc>
        <w:tc>
          <w:tcPr>
            <w:tcW w:w="5812" w:type="dxa"/>
            <w:shd w:val="clear" w:color="auto" w:fill="auto"/>
          </w:tcPr>
          <w:p w:rsidR="001D5864" w:rsidRPr="003C6E5B" w:rsidRDefault="001D5864" w:rsidP="00C85764">
            <w:pPr>
              <w:spacing w:line="243" w:lineRule="exact"/>
              <w:rPr>
                <w:sz w:val="22"/>
                <w:szCs w:val="22"/>
              </w:rPr>
            </w:pPr>
            <w:r w:rsidRPr="003C6E5B">
              <w:rPr>
                <w:rFonts w:eastAsia="Calibri"/>
                <w:sz w:val="22"/>
                <w:szCs w:val="22"/>
              </w:rPr>
              <w:t>Studiu publicat în reviste de specialitate indexate în bazele de date internaţionale recunoscute, din domeniul filosofiei sau din domeniile apropiate (de exemplu, Istoria si filosofia ştiinţei, Antropologie, Studii culturale etc.), ori studiu publicat în volume apărute la edituri cu prestigiu internaţional sau articol publicat într-o enciclopedie ori într-un dicţionar de specialitate, la edituri cu prestigiu internaţional</w:t>
            </w:r>
          </w:p>
        </w:tc>
        <w:tc>
          <w:tcPr>
            <w:tcW w:w="1701" w:type="dxa"/>
            <w:shd w:val="clear" w:color="auto" w:fill="auto"/>
          </w:tcPr>
          <w:p w:rsidR="001D5864" w:rsidRPr="003C6E5B" w:rsidRDefault="001D5864" w:rsidP="00C85764">
            <w:pPr>
              <w:spacing w:line="232" w:lineRule="exact"/>
              <w:jc w:val="center"/>
              <w:rPr>
                <w:rFonts w:eastAsia="Calibri"/>
                <w:sz w:val="22"/>
                <w:szCs w:val="22"/>
              </w:rPr>
            </w:pPr>
            <w:r w:rsidRPr="003C6E5B">
              <w:rPr>
                <w:rFonts w:eastAsia="Calibri"/>
                <w:sz w:val="22"/>
                <w:szCs w:val="22"/>
              </w:rPr>
              <w:t>15/n</w:t>
            </w:r>
          </w:p>
        </w:tc>
        <w:tc>
          <w:tcPr>
            <w:tcW w:w="1524" w:type="dxa"/>
            <w:shd w:val="clear" w:color="auto" w:fill="auto"/>
          </w:tcPr>
          <w:p w:rsidR="001D5864" w:rsidRPr="003C6E5B" w:rsidRDefault="001D5864" w:rsidP="00C85764">
            <w:pPr>
              <w:jc w:val="center"/>
              <w:rPr>
                <w:sz w:val="22"/>
                <w:szCs w:val="22"/>
              </w:rPr>
            </w:pPr>
            <w:r w:rsidRPr="003C6E5B">
              <w:rPr>
                <w:rFonts w:eastAsia="Calibri"/>
                <w:sz w:val="22"/>
                <w:szCs w:val="22"/>
              </w:rPr>
              <w:t>Pe publicaţie</w:t>
            </w:r>
          </w:p>
        </w:tc>
      </w:tr>
      <w:tr w:rsidR="001D5864" w:rsidRPr="003C6E5B" w:rsidTr="00C85764">
        <w:trPr>
          <w:trHeight w:val="1460"/>
        </w:trPr>
        <w:tc>
          <w:tcPr>
            <w:tcW w:w="1418" w:type="dxa"/>
            <w:shd w:val="clear" w:color="auto" w:fill="auto"/>
          </w:tcPr>
          <w:p w:rsidR="001D5864" w:rsidRPr="003C6E5B" w:rsidRDefault="001D5864" w:rsidP="00C85764">
            <w:pPr>
              <w:spacing w:line="230" w:lineRule="exact"/>
              <w:ind w:left="100"/>
              <w:jc w:val="center"/>
              <w:rPr>
                <w:sz w:val="22"/>
                <w:szCs w:val="22"/>
              </w:rPr>
            </w:pPr>
            <w:r w:rsidRPr="003C6E5B">
              <w:rPr>
                <w:rFonts w:eastAsia="Calibri"/>
                <w:b/>
                <w:bCs/>
                <w:sz w:val="22"/>
                <w:szCs w:val="22"/>
              </w:rPr>
              <w:t>I. 5</w:t>
            </w:r>
          </w:p>
        </w:tc>
        <w:tc>
          <w:tcPr>
            <w:tcW w:w="5812" w:type="dxa"/>
            <w:shd w:val="clear" w:color="auto" w:fill="auto"/>
          </w:tcPr>
          <w:p w:rsidR="001D5864" w:rsidRPr="003C6E5B" w:rsidRDefault="001D5864" w:rsidP="00C85764">
            <w:pPr>
              <w:spacing w:line="230" w:lineRule="exact"/>
              <w:ind w:left="80"/>
              <w:rPr>
                <w:sz w:val="22"/>
                <w:szCs w:val="22"/>
              </w:rPr>
            </w:pPr>
            <w:r w:rsidRPr="003C6E5B">
              <w:rPr>
                <w:rFonts w:eastAsia="Calibri"/>
                <w:sz w:val="22"/>
                <w:szCs w:val="22"/>
              </w:rPr>
              <w:t>Studiu publicat în reviste de specialitate (recunoscute/ clasificate CNCS) ori studiu publicat în volume colective apărute la edituri cu prestigiu naţional (recunoscute / clasificate CNCS), ori articol publicat într-o enciclopedie sau într-un dicţionar apărute la edituri cu prestigiu naţional (recunoscute / clasificate CNCS)</w:t>
            </w:r>
          </w:p>
        </w:tc>
        <w:tc>
          <w:tcPr>
            <w:tcW w:w="1701" w:type="dxa"/>
            <w:shd w:val="clear" w:color="auto" w:fill="auto"/>
          </w:tcPr>
          <w:p w:rsidR="001D5864" w:rsidRPr="003C6E5B" w:rsidRDefault="001D5864" w:rsidP="00C85764">
            <w:pPr>
              <w:spacing w:line="232" w:lineRule="exact"/>
              <w:jc w:val="center"/>
              <w:rPr>
                <w:rFonts w:eastAsia="Calibri"/>
                <w:sz w:val="22"/>
                <w:szCs w:val="22"/>
              </w:rPr>
            </w:pPr>
            <w:r w:rsidRPr="003C6E5B">
              <w:rPr>
                <w:rFonts w:eastAsia="Calibri"/>
                <w:sz w:val="22"/>
                <w:szCs w:val="22"/>
              </w:rPr>
              <w:t>10/n</w:t>
            </w:r>
          </w:p>
        </w:tc>
        <w:tc>
          <w:tcPr>
            <w:tcW w:w="1524" w:type="dxa"/>
            <w:shd w:val="clear" w:color="auto" w:fill="auto"/>
          </w:tcPr>
          <w:p w:rsidR="001D5864" w:rsidRPr="003C6E5B" w:rsidRDefault="001D5864" w:rsidP="00C85764">
            <w:pPr>
              <w:jc w:val="center"/>
              <w:rPr>
                <w:sz w:val="22"/>
                <w:szCs w:val="22"/>
              </w:rPr>
            </w:pPr>
            <w:r w:rsidRPr="003C6E5B">
              <w:rPr>
                <w:rFonts w:eastAsia="Calibri"/>
                <w:sz w:val="22"/>
                <w:szCs w:val="22"/>
              </w:rPr>
              <w:t>Pe publicaţie</w:t>
            </w:r>
          </w:p>
        </w:tc>
      </w:tr>
      <w:tr w:rsidR="001D5864" w:rsidRPr="003C6E5B" w:rsidTr="00C85764">
        <w:trPr>
          <w:trHeight w:val="470"/>
        </w:trPr>
        <w:tc>
          <w:tcPr>
            <w:tcW w:w="1418" w:type="dxa"/>
            <w:vMerge w:val="restart"/>
            <w:shd w:val="clear" w:color="auto" w:fill="auto"/>
          </w:tcPr>
          <w:p w:rsidR="001D5864" w:rsidRPr="003C6E5B" w:rsidRDefault="001D5864" w:rsidP="00C85764">
            <w:pPr>
              <w:spacing w:line="232" w:lineRule="exact"/>
              <w:ind w:left="100"/>
              <w:jc w:val="center"/>
              <w:rPr>
                <w:sz w:val="22"/>
                <w:szCs w:val="22"/>
              </w:rPr>
            </w:pPr>
            <w:r w:rsidRPr="003C6E5B">
              <w:rPr>
                <w:rFonts w:eastAsia="Calibri"/>
                <w:b/>
                <w:bCs/>
                <w:sz w:val="22"/>
                <w:szCs w:val="22"/>
              </w:rPr>
              <w:t>I. 6</w:t>
            </w:r>
          </w:p>
        </w:tc>
        <w:tc>
          <w:tcPr>
            <w:tcW w:w="5812" w:type="dxa"/>
            <w:vMerge w:val="restart"/>
            <w:shd w:val="clear" w:color="auto" w:fill="auto"/>
            <w:vAlign w:val="bottom"/>
          </w:tcPr>
          <w:p w:rsidR="001D5864" w:rsidRPr="003C6E5B" w:rsidRDefault="001D5864" w:rsidP="00C85764">
            <w:pPr>
              <w:spacing w:line="232" w:lineRule="exact"/>
              <w:ind w:left="80"/>
              <w:rPr>
                <w:sz w:val="22"/>
                <w:szCs w:val="22"/>
              </w:rPr>
            </w:pPr>
            <w:r w:rsidRPr="003C6E5B">
              <w:rPr>
                <w:rFonts w:eastAsia="Calibri"/>
                <w:sz w:val="22"/>
                <w:szCs w:val="22"/>
              </w:rPr>
              <w:t>Recenzie științifică sau traducerea unui studiu – publicate în reviste de specialitate indexate în bazele de date internaţionale</w:t>
            </w:r>
          </w:p>
          <w:p w:rsidR="001D5864" w:rsidRPr="00422B95" w:rsidRDefault="001D5864" w:rsidP="00C85764">
            <w:pPr>
              <w:ind w:left="80"/>
              <w:rPr>
                <w:rFonts w:eastAsia="Calibri"/>
                <w:color w:val="FF0000"/>
                <w:sz w:val="22"/>
                <w:szCs w:val="22"/>
              </w:rPr>
            </w:pPr>
            <w:r w:rsidRPr="003C6E5B">
              <w:rPr>
                <w:rFonts w:eastAsia="Calibri"/>
                <w:sz w:val="22"/>
                <w:szCs w:val="22"/>
              </w:rPr>
              <w:t xml:space="preserve">recunoscute sau în reviste recunoscute /clasificate CNCS, ori în volume apărute </w:t>
            </w:r>
            <w:r w:rsidRPr="00BD1009">
              <w:rPr>
                <w:rFonts w:eastAsia="Calibri"/>
                <w:sz w:val="22"/>
                <w:szCs w:val="22"/>
              </w:rPr>
              <w:t xml:space="preserve">la edituri cu prestigiu internaţional sau naţional (recunoscute / clasificate CNCS); Produs cu drept de proprietate intelectuală omologat sau cu validare internațională sau națională (de exemplu, item validat </w:t>
            </w:r>
            <w:r w:rsidRPr="00422B95">
              <w:rPr>
                <w:rFonts w:eastAsia="Calibri"/>
                <w:sz w:val="22"/>
                <w:szCs w:val="22"/>
              </w:rPr>
              <w:t>/</w:t>
            </w:r>
            <w:r w:rsidRPr="00BD1009">
              <w:rPr>
                <w:rFonts w:eastAsia="Calibri"/>
                <w:sz w:val="22"/>
                <w:szCs w:val="22"/>
              </w:rPr>
              <w:t xml:space="preserve"> omologat pentru test de gândire critică, competenţă validată</w:t>
            </w:r>
            <w:r w:rsidRPr="00422B95">
              <w:rPr>
                <w:rFonts w:eastAsia="Calibri"/>
                <w:sz w:val="22"/>
                <w:szCs w:val="22"/>
              </w:rPr>
              <w:t xml:space="preserve"> /</w:t>
            </w:r>
            <w:r w:rsidRPr="00BD1009">
              <w:rPr>
                <w:rFonts w:eastAsia="Calibri"/>
                <w:sz w:val="22"/>
                <w:szCs w:val="22"/>
              </w:rPr>
              <w:t xml:space="preserve"> omologată într-o grilă de competențe profesionale pentru învățământ sau pentru calificări, algoritm terapeutic validat </w:t>
            </w:r>
            <w:r w:rsidRPr="00422B95">
              <w:rPr>
                <w:rFonts w:eastAsia="Calibri"/>
                <w:sz w:val="22"/>
                <w:szCs w:val="22"/>
              </w:rPr>
              <w:t>/</w:t>
            </w:r>
            <w:r w:rsidRPr="00BD1009">
              <w:rPr>
                <w:rFonts w:eastAsia="Calibri"/>
                <w:sz w:val="22"/>
                <w:szCs w:val="22"/>
              </w:rPr>
              <w:t xml:space="preserve"> omologat printr-o metodă de consiliere filosofică etc.)</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6.1 internațională</w:t>
            </w:r>
          </w:p>
          <w:p w:rsidR="001D5864" w:rsidRPr="003C6E5B" w:rsidRDefault="001D5864" w:rsidP="00C85764">
            <w:pPr>
              <w:spacing w:line="243" w:lineRule="exact"/>
              <w:jc w:val="center"/>
              <w:rPr>
                <w:rFonts w:eastAsia="Calibri"/>
                <w:sz w:val="22"/>
                <w:szCs w:val="22"/>
              </w:rPr>
            </w:pPr>
            <w:r w:rsidRPr="003C6E5B">
              <w:rPr>
                <w:rFonts w:eastAsia="Calibri"/>
                <w:sz w:val="22"/>
                <w:szCs w:val="22"/>
              </w:rPr>
              <w:t>5/n</w:t>
            </w:r>
          </w:p>
        </w:tc>
        <w:tc>
          <w:tcPr>
            <w:tcW w:w="1524" w:type="dxa"/>
            <w:vMerge w:val="restart"/>
            <w:shd w:val="clear" w:color="auto" w:fill="auto"/>
          </w:tcPr>
          <w:p w:rsidR="001D5864" w:rsidRPr="003C6E5B" w:rsidRDefault="001D5864" w:rsidP="00C85764">
            <w:pPr>
              <w:spacing w:line="198" w:lineRule="exact"/>
              <w:ind w:left="100"/>
              <w:jc w:val="center"/>
              <w:rPr>
                <w:sz w:val="22"/>
                <w:szCs w:val="22"/>
              </w:rPr>
            </w:pPr>
            <w:r w:rsidRPr="003C6E5B">
              <w:rPr>
                <w:rFonts w:eastAsia="Calibri"/>
                <w:sz w:val="22"/>
                <w:szCs w:val="22"/>
              </w:rPr>
              <w:t>Pe publicație/</w:t>
            </w:r>
          </w:p>
          <w:p w:rsidR="001D5864" w:rsidRPr="003C6E5B" w:rsidRDefault="001D5864" w:rsidP="00C85764">
            <w:pPr>
              <w:spacing w:line="198" w:lineRule="exact"/>
              <w:ind w:left="100"/>
              <w:jc w:val="center"/>
              <w:rPr>
                <w:sz w:val="22"/>
                <w:szCs w:val="22"/>
              </w:rPr>
            </w:pPr>
            <w:r w:rsidRPr="003C6E5B">
              <w:rPr>
                <w:rFonts w:eastAsia="Calibri"/>
                <w:sz w:val="22"/>
                <w:szCs w:val="22"/>
              </w:rPr>
              <w:t>Pe produs</w:t>
            </w:r>
          </w:p>
        </w:tc>
      </w:tr>
      <w:tr w:rsidR="001D5864" w:rsidRPr="003C6E5B" w:rsidTr="00C85764">
        <w:trPr>
          <w:trHeight w:val="455"/>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spacing w:line="243" w:lineRule="exact"/>
              <w:ind w:left="80"/>
              <w:rPr>
                <w:sz w:val="22"/>
                <w:szCs w:val="22"/>
              </w:rPr>
            </w:pPr>
          </w:p>
        </w:tc>
        <w:tc>
          <w:tcPr>
            <w:tcW w:w="1701" w:type="dxa"/>
            <w:tcBorders>
              <w:bottom w:val="single" w:sz="4" w:space="0" w:color="auto"/>
            </w:tcBorders>
            <w:shd w:val="clear" w:color="auto" w:fill="auto"/>
          </w:tcPr>
          <w:p w:rsidR="001D5864" w:rsidRPr="003C6E5B" w:rsidRDefault="001D5864" w:rsidP="00C85764">
            <w:pPr>
              <w:spacing w:line="232" w:lineRule="exact"/>
              <w:jc w:val="center"/>
              <w:rPr>
                <w:rFonts w:eastAsia="Calibri"/>
                <w:sz w:val="22"/>
                <w:szCs w:val="22"/>
              </w:rPr>
            </w:pPr>
            <w:r w:rsidRPr="003C6E5B">
              <w:rPr>
                <w:rFonts w:eastAsia="Calibri"/>
                <w:sz w:val="22"/>
                <w:szCs w:val="22"/>
              </w:rPr>
              <w:t>6.1 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3/n</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75"/>
        </w:trPr>
        <w:tc>
          <w:tcPr>
            <w:tcW w:w="1418" w:type="dxa"/>
            <w:vMerge w:val="restart"/>
            <w:tcBorders>
              <w:bottom w:val="single" w:sz="4" w:space="0" w:color="auto"/>
            </w:tcBorders>
            <w:shd w:val="clear" w:color="auto" w:fill="auto"/>
          </w:tcPr>
          <w:p w:rsidR="001D5864" w:rsidRPr="003C6E5B" w:rsidRDefault="001D5864" w:rsidP="00C85764">
            <w:pPr>
              <w:ind w:left="100"/>
              <w:jc w:val="center"/>
              <w:rPr>
                <w:sz w:val="22"/>
                <w:szCs w:val="22"/>
              </w:rPr>
            </w:pPr>
            <w:r w:rsidRPr="003C6E5B">
              <w:rPr>
                <w:rFonts w:eastAsia="Calibri"/>
                <w:b/>
                <w:bCs/>
                <w:sz w:val="22"/>
                <w:szCs w:val="22"/>
              </w:rPr>
              <w:t>I. 7</w:t>
            </w:r>
          </w:p>
        </w:tc>
        <w:tc>
          <w:tcPr>
            <w:tcW w:w="5812" w:type="dxa"/>
            <w:vMerge w:val="restart"/>
            <w:tcBorders>
              <w:bottom w:val="single" w:sz="4" w:space="0" w:color="auto"/>
            </w:tcBorders>
            <w:shd w:val="clear" w:color="auto" w:fill="auto"/>
          </w:tcPr>
          <w:p w:rsidR="001D5864" w:rsidRPr="003C6E5B" w:rsidRDefault="001D5864" w:rsidP="00C85764">
            <w:pPr>
              <w:spacing w:line="230" w:lineRule="exact"/>
              <w:ind w:left="80"/>
              <w:rPr>
                <w:sz w:val="22"/>
                <w:szCs w:val="22"/>
              </w:rPr>
            </w:pPr>
            <w:r w:rsidRPr="003C6E5B">
              <w:rPr>
                <w:rFonts w:eastAsia="Calibri"/>
                <w:sz w:val="22"/>
                <w:szCs w:val="22"/>
              </w:rPr>
              <w:t>Grant de cercetare, în echipă sau individual, obținut în calitate de director de grant prin competiție internațională sau națională sau instituțională (cu nr. de contract /înregistrare), din partea unui organism internațional sau național de finanțare a cercetării sau a unei instituţii de învăţământ superior şi /sau de cercetare recunoscută din străinătate sau din România</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7.1 internațional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45 echipă /15 ind.</w:t>
            </w:r>
          </w:p>
        </w:tc>
        <w:tc>
          <w:tcPr>
            <w:tcW w:w="1524" w:type="dxa"/>
            <w:vMerge w:val="restart"/>
            <w:tcBorders>
              <w:bottom w:val="single" w:sz="4" w:space="0" w:color="auto"/>
            </w:tcBorders>
            <w:shd w:val="clear" w:color="auto" w:fill="auto"/>
          </w:tcPr>
          <w:p w:rsidR="001D5864" w:rsidRPr="003C6E5B" w:rsidRDefault="001D5864" w:rsidP="00C85764">
            <w:pPr>
              <w:jc w:val="center"/>
              <w:rPr>
                <w:sz w:val="22"/>
                <w:szCs w:val="22"/>
              </w:rPr>
            </w:pPr>
            <w:r w:rsidRPr="003C6E5B">
              <w:rPr>
                <w:rFonts w:eastAsia="Calibri"/>
                <w:sz w:val="22"/>
                <w:szCs w:val="22"/>
              </w:rPr>
              <w:t>Pe grant</w:t>
            </w:r>
          </w:p>
        </w:tc>
      </w:tr>
      <w:tr w:rsidR="001D5864" w:rsidRPr="003C6E5B" w:rsidTr="00C85764">
        <w:trPr>
          <w:trHeight w:val="470"/>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7.2 național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30 echipă/ 10 ind.</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55"/>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7.3 instituțional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10 echipă / 5 ind.</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55"/>
        </w:trPr>
        <w:tc>
          <w:tcPr>
            <w:tcW w:w="1418" w:type="dxa"/>
            <w:vMerge w:val="restart"/>
            <w:tcBorders>
              <w:bottom w:val="single" w:sz="4" w:space="0" w:color="auto"/>
            </w:tcBorders>
            <w:shd w:val="clear" w:color="auto" w:fill="auto"/>
          </w:tcPr>
          <w:p w:rsidR="001D5864" w:rsidRPr="003C6E5B" w:rsidRDefault="001D5864" w:rsidP="00C85764">
            <w:pPr>
              <w:spacing w:line="227" w:lineRule="exact"/>
              <w:ind w:left="100"/>
              <w:jc w:val="center"/>
              <w:rPr>
                <w:sz w:val="22"/>
                <w:szCs w:val="22"/>
              </w:rPr>
            </w:pPr>
            <w:r w:rsidRPr="003C6E5B">
              <w:rPr>
                <w:rFonts w:eastAsia="Calibri"/>
                <w:b/>
                <w:bCs/>
                <w:sz w:val="22"/>
                <w:szCs w:val="22"/>
              </w:rPr>
              <w:t>I. 8</w:t>
            </w:r>
          </w:p>
        </w:tc>
        <w:tc>
          <w:tcPr>
            <w:tcW w:w="5812" w:type="dxa"/>
            <w:vMerge w:val="restart"/>
            <w:tcBorders>
              <w:bottom w:val="single" w:sz="4" w:space="0" w:color="auto"/>
            </w:tcBorders>
            <w:shd w:val="clear" w:color="auto" w:fill="auto"/>
          </w:tcPr>
          <w:p w:rsidR="001D5864" w:rsidRPr="003C6E5B" w:rsidRDefault="001D5864" w:rsidP="00C85764">
            <w:pPr>
              <w:spacing w:line="227" w:lineRule="exact"/>
              <w:ind w:left="80"/>
              <w:rPr>
                <w:sz w:val="22"/>
                <w:szCs w:val="22"/>
              </w:rPr>
            </w:pPr>
            <w:r w:rsidRPr="003C6E5B">
              <w:rPr>
                <w:rFonts w:eastAsia="Calibri"/>
                <w:sz w:val="22"/>
                <w:szCs w:val="22"/>
              </w:rPr>
              <w:t>Membru într-un grant de cercetare obținut prin competiție</w:t>
            </w:r>
          </w:p>
          <w:p w:rsidR="001D5864" w:rsidRPr="003C6E5B" w:rsidRDefault="001D5864" w:rsidP="00C85764">
            <w:pPr>
              <w:ind w:left="80"/>
              <w:rPr>
                <w:sz w:val="22"/>
                <w:szCs w:val="22"/>
              </w:rPr>
            </w:pPr>
            <w:r w:rsidRPr="003C6E5B">
              <w:rPr>
                <w:rFonts w:eastAsia="Calibri"/>
                <w:sz w:val="22"/>
                <w:szCs w:val="22"/>
              </w:rPr>
              <w:lastRenderedPageBreak/>
              <w:t>internațională sau națională sau instituțională (cu nr. de contract / înregistrare), din partea unui organism internațional sau național de finanțare a cercetării sau a unei instituţii de învăţământ superior şi /sau de cercetare recunoscută din străinătate sau din România</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lastRenderedPageBreak/>
              <w:t>8.1 internațional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15</w:t>
            </w:r>
          </w:p>
        </w:tc>
        <w:tc>
          <w:tcPr>
            <w:tcW w:w="1524" w:type="dxa"/>
            <w:vMerge w:val="restart"/>
            <w:tcBorders>
              <w:bottom w:val="single" w:sz="4" w:space="0" w:color="auto"/>
            </w:tcBorders>
            <w:shd w:val="clear" w:color="auto" w:fill="auto"/>
          </w:tcPr>
          <w:p w:rsidR="001D5864" w:rsidRPr="003C6E5B" w:rsidRDefault="001D5864" w:rsidP="00C85764">
            <w:pPr>
              <w:jc w:val="center"/>
              <w:rPr>
                <w:sz w:val="22"/>
                <w:szCs w:val="22"/>
              </w:rPr>
            </w:pPr>
            <w:r w:rsidRPr="003C6E5B">
              <w:rPr>
                <w:rFonts w:eastAsia="Calibri"/>
                <w:sz w:val="22"/>
                <w:szCs w:val="22"/>
              </w:rPr>
              <w:t>Pe grant</w:t>
            </w:r>
          </w:p>
        </w:tc>
      </w:tr>
      <w:tr w:rsidR="001D5864" w:rsidRPr="003C6E5B" w:rsidTr="00C85764">
        <w:trPr>
          <w:trHeight w:val="450"/>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8.2 național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10</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70"/>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tcPr>
          <w:p w:rsidR="001D5864" w:rsidRPr="003C6E5B" w:rsidRDefault="001D5864" w:rsidP="00C85764">
            <w:pPr>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8.3 instituțional</w:t>
            </w:r>
          </w:p>
          <w:p w:rsidR="001D5864" w:rsidRPr="003C6E5B" w:rsidRDefault="001D5864" w:rsidP="00C85764">
            <w:pPr>
              <w:spacing w:line="232" w:lineRule="exact"/>
              <w:jc w:val="center"/>
              <w:rPr>
                <w:rFonts w:eastAsia="Calibri"/>
                <w:sz w:val="22"/>
                <w:szCs w:val="22"/>
              </w:rPr>
            </w:pPr>
            <w:r w:rsidRPr="003C6E5B">
              <w:rPr>
                <w:rFonts w:eastAsia="Calibri"/>
                <w:sz w:val="22"/>
                <w:szCs w:val="22"/>
              </w:rPr>
              <w:t>5</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r w:rsidR="001D5864" w:rsidRPr="003C6E5B" w:rsidTr="00C85764">
        <w:trPr>
          <w:trHeight w:val="455"/>
        </w:trPr>
        <w:tc>
          <w:tcPr>
            <w:tcW w:w="1418" w:type="dxa"/>
            <w:vMerge w:val="restart"/>
            <w:tcBorders>
              <w:bottom w:val="single" w:sz="4" w:space="0" w:color="auto"/>
            </w:tcBorders>
            <w:shd w:val="clear" w:color="auto" w:fill="auto"/>
          </w:tcPr>
          <w:p w:rsidR="001D5864" w:rsidRPr="003C6E5B" w:rsidRDefault="001D5864" w:rsidP="00C85764">
            <w:pPr>
              <w:spacing w:line="227" w:lineRule="exact"/>
              <w:ind w:left="100"/>
              <w:jc w:val="center"/>
              <w:rPr>
                <w:sz w:val="22"/>
                <w:szCs w:val="22"/>
              </w:rPr>
            </w:pPr>
            <w:r w:rsidRPr="003C6E5B">
              <w:rPr>
                <w:rFonts w:eastAsia="Calibri"/>
                <w:b/>
                <w:bCs/>
                <w:sz w:val="22"/>
                <w:szCs w:val="22"/>
              </w:rPr>
              <w:t>I. 9</w:t>
            </w:r>
          </w:p>
        </w:tc>
        <w:tc>
          <w:tcPr>
            <w:tcW w:w="5812" w:type="dxa"/>
            <w:vMerge w:val="restart"/>
            <w:tcBorders>
              <w:bottom w:val="single" w:sz="4" w:space="0" w:color="auto"/>
            </w:tcBorders>
            <w:shd w:val="clear" w:color="auto" w:fill="auto"/>
            <w:vAlign w:val="bottom"/>
          </w:tcPr>
          <w:p w:rsidR="001D5864" w:rsidRPr="003C6E5B" w:rsidRDefault="001D5864" w:rsidP="00C85764">
            <w:pPr>
              <w:spacing w:line="227" w:lineRule="exact"/>
              <w:ind w:left="80"/>
              <w:rPr>
                <w:sz w:val="22"/>
                <w:szCs w:val="22"/>
              </w:rPr>
            </w:pPr>
            <w:r w:rsidRPr="003C6E5B">
              <w:rPr>
                <w:rFonts w:eastAsia="Calibri"/>
                <w:sz w:val="22"/>
                <w:szCs w:val="22"/>
              </w:rPr>
              <w:t xml:space="preserve">Comunicare la conferinţă (simpozion, workshop etc.) cu comitet de selecţie sau sistem </w:t>
            </w:r>
            <w:r w:rsidRPr="003C6E5B">
              <w:rPr>
                <w:rFonts w:eastAsia="Calibri"/>
                <w:i/>
                <w:iCs/>
                <w:sz w:val="22"/>
                <w:szCs w:val="22"/>
              </w:rPr>
              <w:t>peer review,</w:t>
            </w:r>
            <w:r w:rsidRPr="003C6E5B">
              <w:rPr>
                <w:rFonts w:eastAsia="Calibri"/>
                <w:sz w:val="22"/>
                <w:szCs w:val="22"/>
              </w:rPr>
              <w:t xml:space="preserve"> organizată de o instituţie de învăţământ superior şi/sau de cercetare recunoscută din străinătate sau din România, cu participare internațională sau națională (dovedită prin programul conferinței)</w:t>
            </w: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9.1 internațională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10/n</w:t>
            </w:r>
          </w:p>
        </w:tc>
        <w:tc>
          <w:tcPr>
            <w:tcW w:w="1524" w:type="dxa"/>
            <w:vMerge w:val="restart"/>
            <w:tcBorders>
              <w:bottom w:val="single" w:sz="4" w:space="0" w:color="auto"/>
            </w:tcBorders>
            <w:shd w:val="clear" w:color="auto" w:fill="auto"/>
          </w:tcPr>
          <w:p w:rsidR="001D5864" w:rsidRPr="003C6E5B" w:rsidRDefault="001D5864" w:rsidP="00C85764">
            <w:pPr>
              <w:jc w:val="center"/>
              <w:rPr>
                <w:sz w:val="22"/>
                <w:szCs w:val="22"/>
              </w:rPr>
            </w:pPr>
            <w:r w:rsidRPr="003C6E5B">
              <w:rPr>
                <w:rFonts w:eastAsia="Calibri"/>
                <w:sz w:val="22"/>
                <w:szCs w:val="22"/>
              </w:rPr>
              <w:t>Pe comunicare</w:t>
            </w:r>
          </w:p>
        </w:tc>
      </w:tr>
      <w:tr w:rsidR="001D5864" w:rsidRPr="003C6E5B" w:rsidTr="00C85764">
        <w:trPr>
          <w:trHeight w:val="450"/>
        </w:trPr>
        <w:tc>
          <w:tcPr>
            <w:tcW w:w="1418" w:type="dxa"/>
            <w:vMerge/>
            <w:tcBorders>
              <w:bottom w:val="single" w:sz="4" w:space="0" w:color="auto"/>
            </w:tcBorders>
            <w:shd w:val="clear" w:color="auto" w:fill="auto"/>
          </w:tcPr>
          <w:p w:rsidR="001D5864" w:rsidRPr="003C6E5B" w:rsidRDefault="001D5864" w:rsidP="00C85764">
            <w:pPr>
              <w:jc w:val="center"/>
              <w:rPr>
                <w:sz w:val="22"/>
                <w:szCs w:val="22"/>
              </w:rPr>
            </w:pPr>
          </w:p>
        </w:tc>
        <w:tc>
          <w:tcPr>
            <w:tcW w:w="5812" w:type="dxa"/>
            <w:vMerge/>
            <w:tcBorders>
              <w:bottom w:val="single" w:sz="4" w:space="0" w:color="auto"/>
            </w:tcBorders>
            <w:shd w:val="clear" w:color="auto" w:fill="auto"/>
            <w:vAlign w:val="bottom"/>
          </w:tcPr>
          <w:p w:rsidR="001D5864" w:rsidRPr="003C6E5B" w:rsidRDefault="001D5864" w:rsidP="00C85764">
            <w:pPr>
              <w:ind w:left="80"/>
              <w:rPr>
                <w:sz w:val="22"/>
                <w:szCs w:val="22"/>
              </w:rPr>
            </w:pPr>
          </w:p>
        </w:tc>
        <w:tc>
          <w:tcPr>
            <w:tcW w:w="1701" w:type="dxa"/>
            <w:tcBorders>
              <w:bottom w:val="single" w:sz="4" w:space="0" w:color="auto"/>
            </w:tcBorders>
            <w:shd w:val="clear" w:color="auto" w:fill="auto"/>
            <w:vAlign w:val="bottom"/>
          </w:tcPr>
          <w:p w:rsidR="001D5864" w:rsidRPr="003C6E5B" w:rsidRDefault="001D5864" w:rsidP="00C85764">
            <w:pPr>
              <w:spacing w:line="232" w:lineRule="exact"/>
              <w:jc w:val="center"/>
              <w:rPr>
                <w:rFonts w:eastAsia="Calibri"/>
                <w:sz w:val="22"/>
                <w:szCs w:val="22"/>
              </w:rPr>
            </w:pPr>
            <w:r w:rsidRPr="003C6E5B">
              <w:rPr>
                <w:rFonts w:eastAsia="Calibri"/>
                <w:sz w:val="22"/>
                <w:szCs w:val="22"/>
              </w:rPr>
              <w:t>9.2 națională</w:t>
            </w:r>
          </w:p>
          <w:p w:rsidR="001D5864" w:rsidRPr="003C6E5B" w:rsidRDefault="001D5864" w:rsidP="00C85764">
            <w:pPr>
              <w:spacing w:line="232" w:lineRule="exact"/>
              <w:jc w:val="center"/>
              <w:rPr>
                <w:rFonts w:eastAsia="Calibri"/>
                <w:sz w:val="22"/>
                <w:szCs w:val="22"/>
              </w:rPr>
            </w:pPr>
            <w:r w:rsidRPr="003C6E5B">
              <w:rPr>
                <w:rFonts w:eastAsia="Calibri"/>
                <w:sz w:val="22"/>
                <w:szCs w:val="22"/>
              </w:rPr>
              <w:t>5/n</w:t>
            </w:r>
          </w:p>
        </w:tc>
        <w:tc>
          <w:tcPr>
            <w:tcW w:w="1524" w:type="dxa"/>
            <w:vMerge/>
            <w:tcBorders>
              <w:bottom w:val="single" w:sz="4" w:space="0" w:color="auto"/>
            </w:tcBorders>
            <w:shd w:val="clear" w:color="auto" w:fill="auto"/>
          </w:tcPr>
          <w:p w:rsidR="001D5864" w:rsidRPr="003C6E5B" w:rsidRDefault="001D5864" w:rsidP="00C85764">
            <w:pPr>
              <w:jc w:val="center"/>
              <w:rPr>
                <w:sz w:val="22"/>
                <w:szCs w:val="22"/>
              </w:rPr>
            </w:pPr>
          </w:p>
        </w:tc>
      </w:tr>
    </w:tbl>
    <w:p w:rsidR="001D5864" w:rsidRPr="008D69FD" w:rsidRDefault="001D5864" w:rsidP="001D5864"/>
    <w:p w:rsidR="001D5864" w:rsidRPr="008D69FD" w:rsidRDefault="001D5864" w:rsidP="001D5864"/>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4"/>
        <w:gridCol w:w="3820"/>
        <w:gridCol w:w="3473"/>
      </w:tblGrid>
      <w:tr w:rsidR="00B14BF1" w:rsidRPr="00C3632C" w:rsidTr="00B14BF1">
        <w:tc>
          <w:tcPr>
            <w:tcW w:w="2454" w:type="dxa"/>
            <w:vMerge w:val="restart"/>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b/>
                <w:bCs/>
                <w:lang w:eastAsia="en-US"/>
              </w:rPr>
              <w:t>II. ACTIVITATEA DIDACTICĂ (40%)</w:t>
            </w: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1.</w:t>
            </w:r>
            <w:r w:rsidRPr="00C3632C">
              <w:rPr>
                <w:lang w:eastAsia="en-US"/>
              </w:rPr>
              <w:t xml:space="preserve"> Evaluare studenţi</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suma punctajelor anuale ob</w:t>
            </w:r>
            <w:r w:rsidRPr="00C3632C">
              <w:rPr>
                <w:rFonts w:ascii="Tahoma" w:hAnsi="Tahoma" w:cs="Tahoma"/>
                <w:lang w:eastAsia="en-US"/>
              </w:rPr>
              <w:t>ț</w:t>
            </w:r>
            <w:r w:rsidRPr="00C3632C">
              <w:rPr>
                <w:lang w:eastAsia="en-US"/>
              </w:rPr>
              <w:t>inute în perioada care face obiectul raportării</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vMerge w:val="restart"/>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 xml:space="preserve">2. </w:t>
            </w:r>
            <w:r w:rsidRPr="00C3632C">
              <w:rPr>
                <w:lang w:eastAsia="en-US"/>
              </w:rPr>
              <w:t>Cursuri şi manuale universitare (pentru prima edi</w:t>
            </w:r>
            <w:r w:rsidRPr="00C3632C">
              <w:rPr>
                <w:rFonts w:ascii="Tahoma" w:hAnsi="Tahoma" w:cs="Tahoma"/>
                <w:lang w:eastAsia="en-US"/>
              </w:rPr>
              <w:t>ț</w:t>
            </w:r>
            <w:r w:rsidRPr="00C3632C">
              <w:rPr>
                <w:lang w:eastAsia="en-US"/>
              </w:rPr>
              <w:t>ie)</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publicate la edituri acreditate: 40 puncte la 100 pagini / număr de autori</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publicate la alte edituri: 20 puncte la 100 pagini / număr de autori</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*pentru edi</w:t>
            </w:r>
            <w:r w:rsidRPr="00C3632C">
              <w:rPr>
                <w:rFonts w:ascii="Tahoma" w:hAnsi="Tahoma" w:cs="Tahoma"/>
                <w:lang w:eastAsia="en-US"/>
              </w:rPr>
              <w:t>ț</w:t>
            </w:r>
            <w:r w:rsidRPr="00C3632C">
              <w:rPr>
                <w:lang w:eastAsia="en-US"/>
              </w:rPr>
              <w:t xml:space="preserve">iile revizuite </w:t>
            </w:r>
            <w:r w:rsidRPr="00C3632C">
              <w:rPr>
                <w:rFonts w:ascii="Tahoma" w:hAnsi="Tahoma" w:cs="Tahoma"/>
                <w:lang w:eastAsia="en-US"/>
              </w:rPr>
              <w:t>ș</w:t>
            </w:r>
            <w:r w:rsidRPr="00C3632C">
              <w:rPr>
                <w:lang w:eastAsia="en-US"/>
              </w:rPr>
              <w:t>i adăugite, se va acorda jumătate din punctaj</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3.</w:t>
            </w:r>
            <w:r w:rsidRPr="00C3632C">
              <w:rPr>
                <w:lang w:eastAsia="en-US"/>
              </w:rPr>
              <w:t xml:space="preserve"> Proiecte didactice (înfiinţare, laboratoare, săli workshop, biblioteci proprii)</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40 puncte pentru fiecare activitate</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4.</w:t>
            </w:r>
            <w:r w:rsidRPr="00C3632C">
              <w:rPr>
                <w:lang w:eastAsia="en-US"/>
              </w:rPr>
              <w:t xml:space="preserve"> Materiale suport pentru curs, seminar, lucrări practice(se va puncta o singură dată pentru fiecare perioadă de 5 ani)</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10 puncte pentru fiecare disciplină</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b/>
                <w:bCs/>
                <w:sz w:val="22"/>
                <w:szCs w:val="22"/>
                <w:lang w:eastAsia="en-US"/>
              </w:rPr>
            </w:pPr>
            <w:r w:rsidRPr="00C3632C">
              <w:rPr>
                <w:b/>
                <w:bCs/>
                <w:lang w:eastAsia="en-US"/>
              </w:rPr>
              <w:t xml:space="preserve">5. </w:t>
            </w:r>
            <w:r w:rsidRPr="00C3632C">
              <w:rPr>
                <w:lang w:eastAsia="en-US"/>
              </w:rPr>
              <w:t>Îndreptare practice, fi</w:t>
            </w:r>
            <w:r w:rsidRPr="00C3632C">
              <w:rPr>
                <w:rFonts w:ascii="Tahoma" w:hAnsi="Tahoma" w:cs="Tahoma"/>
                <w:lang w:eastAsia="en-US"/>
              </w:rPr>
              <w:t>ș</w:t>
            </w:r>
            <w:r w:rsidRPr="00C3632C">
              <w:rPr>
                <w:lang w:eastAsia="en-US"/>
              </w:rPr>
              <w:t>e de lucru, ghiduri etc. publicate cu ISBN</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10 puncte la 100 pagini / număr de autori</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 xml:space="preserve">6. </w:t>
            </w:r>
            <w:r w:rsidRPr="00C3632C">
              <w:rPr>
                <w:lang w:eastAsia="en-US"/>
              </w:rPr>
              <w:t>Organizare aplicaţii, practică de teren, laborator şi cooperări cu mediul de afaceri</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5 puncte pentru fiecare activitate</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lang w:eastAsia="en-US"/>
              </w:rPr>
              <w:t>7.</w:t>
            </w:r>
            <w:r w:rsidRPr="00C3632C">
              <w:rPr>
                <w:lang w:eastAsia="en-US"/>
              </w:rPr>
              <w:t xml:space="preserve"> Conducere de doctorat</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lang w:eastAsia="en-US"/>
              </w:rPr>
              <w:t>10 puncte pentru fiecare doctorand care a finalizat teza în co-tutelă interna</w:t>
            </w:r>
            <w:r w:rsidRPr="00C3632C">
              <w:rPr>
                <w:rFonts w:ascii="Tahoma" w:hAnsi="Tahoma" w:cs="Tahoma"/>
                <w:lang w:eastAsia="en-US"/>
              </w:rPr>
              <w:t>ț</w:t>
            </w:r>
            <w:r w:rsidRPr="00C3632C">
              <w:rPr>
                <w:lang w:eastAsia="en-US"/>
              </w:rPr>
              <w:t>ională</w:t>
            </w:r>
          </w:p>
          <w:p w:rsidR="00B14BF1" w:rsidRPr="00C3632C" w:rsidRDefault="00B14BF1">
            <w:pPr>
              <w:spacing w:after="200" w:line="276" w:lineRule="auto"/>
              <w:rPr>
                <w:sz w:val="22"/>
                <w:szCs w:val="22"/>
                <w:lang w:eastAsia="en-US"/>
              </w:rPr>
            </w:pPr>
            <w:r w:rsidRPr="00C3632C">
              <w:rPr>
                <w:lang w:eastAsia="en-US"/>
              </w:rPr>
              <w:t xml:space="preserve">5 puncte pentru fiecare doctorand </w:t>
            </w:r>
            <w:r w:rsidRPr="00C3632C">
              <w:rPr>
                <w:lang w:eastAsia="en-US"/>
              </w:rPr>
              <w:lastRenderedPageBreak/>
              <w:t>care a finalizat teza</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b/>
                <w:bCs/>
                <w:lang w:eastAsia="en-US"/>
              </w:rPr>
              <w:t>8.</w:t>
            </w:r>
            <w:r w:rsidRPr="00C3632C">
              <w:rPr>
                <w:lang w:eastAsia="en-US"/>
              </w:rPr>
              <w:t xml:space="preserve"> Coordonarea lucrărilor de licen</w:t>
            </w:r>
            <w:r w:rsidRPr="00C3632C">
              <w:rPr>
                <w:rFonts w:ascii="Tahoma" w:hAnsi="Tahoma" w:cs="Tahoma"/>
                <w:lang w:eastAsia="en-US"/>
              </w:rPr>
              <w:t>ț</w:t>
            </w:r>
            <w:r w:rsidRPr="00C3632C">
              <w:rPr>
                <w:lang w:eastAsia="en-US"/>
              </w:rPr>
              <w:t>ă/diserta</w:t>
            </w:r>
            <w:r w:rsidRPr="00C3632C">
              <w:rPr>
                <w:rFonts w:ascii="Tahoma" w:hAnsi="Tahoma" w:cs="Tahoma"/>
                <w:lang w:eastAsia="en-US"/>
              </w:rPr>
              <w:t>ț</w:t>
            </w:r>
            <w:r w:rsidRPr="00C3632C">
              <w:rPr>
                <w:lang w:eastAsia="en-US"/>
              </w:rPr>
              <w:t>ie/lucrări de grad</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lang w:eastAsia="en-US"/>
              </w:rPr>
              <w:t>2 puncte / lucrare finalizată</w:t>
            </w:r>
          </w:p>
        </w:tc>
      </w:tr>
      <w:tr w:rsidR="00B14BF1" w:rsidRPr="00C3632C" w:rsidTr="00B14BF1">
        <w:tc>
          <w:tcPr>
            <w:tcW w:w="2454" w:type="dxa"/>
            <w:tcBorders>
              <w:top w:val="single" w:sz="4" w:space="0" w:color="000000"/>
              <w:left w:val="single" w:sz="4" w:space="0" w:color="000000"/>
              <w:bottom w:val="single" w:sz="4" w:space="0" w:color="000000"/>
              <w:right w:val="single" w:sz="4" w:space="0" w:color="000000"/>
            </w:tcBorders>
            <w:shd w:val="clear" w:color="auto" w:fill="BFBFBF"/>
          </w:tcPr>
          <w:p w:rsidR="00B14BF1" w:rsidRPr="00C3632C" w:rsidRDefault="00B14BF1">
            <w:pPr>
              <w:spacing w:after="200" w:line="276" w:lineRule="auto"/>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shd w:val="clear" w:color="auto" w:fill="BFBFBF"/>
          </w:tcPr>
          <w:p w:rsidR="00B14BF1" w:rsidRPr="00C3632C" w:rsidRDefault="00B14BF1">
            <w:pPr>
              <w:spacing w:after="200" w:line="276" w:lineRule="auto"/>
              <w:rPr>
                <w:spacing w:val="-5"/>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shd w:val="clear" w:color="auto" w:fill="BFBFBF"/>
          </w:tcPr>
          <w:p w:rsidR="00B14BF1" w:rsidRPr="00C3632C" w:rsidRDefault="00B14BF1">
            <w:pPr>
              <w:spacing w:after="200" w:line="276" w:lineRule="auto"/>
              <w:rPr>
                <w:sz w:val="22"/>
                <w:szCs w:val="22"/>
                <w:lang w:eastAsia="en-US"/>
              </w:rPr>
            </w:pPr>
          </w:p>
        </w:tc>
      </w:tr>
      <w:tr w:rsidR="00B14BF1" w:rsidRPr="00C3632C" w:rsidTr="00B14BF1">
        <w:tc>
          <w:tcPr>
            <w:tcW w:w="2454" w:type="dxa"/>
            <w:vMerge w:val="restart"/>
            <w:tcBorders>
              <w:top w:val="single" w:sz="4" w:space="0" w:color="000000"/>
              <w:left w:val="single" w:sz="4" w:space="0" w:color="000000"/>
              <w:bottom w:val="single" w:sz="4" w:space="0" w:color="000000"/>
              <w:right w:val="single" w:sz="4" w:space="0" w:color="000000"/>
            </w:tcBorders>
            <w:hideMark/>
          </w:tcPr>
          <w:p w:rsidR="00B14BF1" w:rsidRPr="00C3632C" w:rsidRDefault="00B14BF1" w:rsidP="00B14BF1">
            <w:pPr>
              <w:spacing w:after="200" w:line="276" w:lineRule="auto"/>
              <w:rPr>
                <w:sz w:val="22"/>
                <w:szCs w:val="22"/>
                <w:lang w:eastAsia="en-US"/>
              </w:rPr>
            </w:pPr>
            <w:r w:rsidRPr="00C3632C">
              <w:rPr>
                <w:b/>
                <w:bCs/>
                <w:lang w:eastAsia="en-US"/>
              </w:rPr>
              <w:t>III. ACTIVITATEA INSTITUŢIONALĂ (20%)</w:t>
            </w: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color w:val="000000"/>
                <w:lang w:eastAsia="en-US"/>
              </w:rPr>
            </w:pPr>
            <w:r w:rsidRPr="00C3632C">
              <w:rPr>
                <w:b/>
                <w:bCs/>
                <w:color w:val="000000"/>
                <w:lang w:eastAsia="en-US"/>
              </w:rPr>
              <w:t>1.1.</w:t>
            </w:r>
            <w:r w:rsidRPr="00C3632C">
              <w:rPr>
                <w:color w:val="000000"/>
                <w:lang w:eastAsia="en-US"/>
              </w:rPr>
              <w:t xml:space="preserve"> Contribuţii la organizarea activităţii didactice şi administrative: orar, comisie licen</w:t>
            </w:r>
            <w:r w:rsidRPr="00C3632C">
              <w:rPr>
                <w:rFonts w:ascii="Tahoma" w:hAnsi="Tahoma" w:cs="Tahoma"/>
                <w:color w:val="000000"/>
                <w:lang w:eastAsia="en-US"/>
              </w:rPr>
              <w:t>ț</w:t>
            </w:r>
            <w:r w:rsidRPr="00C3632C">
              <w:rPr>
                <w:color w:val="000000"/>
                <w:lang w:eastAsia="en-US"/>
              </w:rPr>
              <w:t>ă/dizerta</w:t>
            </w:r>
            <w:r w:rsidRPr="00C3632C">
              <w:rPr>
                <w:rFonts w:ascii="Tahoma" w:hAnsi="Tahoma" w:cs="Tahoma"/>
                <w:color w:val="000000"/>
                <w:lang w:eastAsia="en-US"/>
              </w:rPr>
              <w:t>ț</w:t>
            </w:r>
            <w:r w:rsidRPr="00C3632C">
              <w:rPr>
                <w:color w:val="000000"/>
                <w:lang w:eastAsia="en-US"/>
              </w:rPr>
              <w:t>ie, comisie de admitere, coordonare programe de studii, tutoriat; coordonare cercuri, conferin</w:t>
            </w:r>
            <w:r w:rsidRPr="00C3632C">
              <w:rPr>
                <w:rFonts w:ascii="Tahoma" w:hAnsi="Tahoma" w:cs="Tahoma"/>
                <w:color w:val="000000"/>
                <w:lang w:eastAsia="en-US"/>
              </w:rPr>
              <w:t>ț</w:t>
            </w:r>
            <w:r w:rsidRPr="00C3632C">
              <w:rPr>
                <w:color w:val="000000"/>
                <w:lang w:eastAsia="en-US"/>
              </w:rPr>
              <w:t>e studen</w:t>
            </w:r>
            <w:r w:rsidRPr="00C3632C">
              <w:rPr>
                <w:rFonts w:ascii="Tahoma" w:hAnsi="Tahoma" w:cs="Tahoma"/>
                <w:color w:val="000000"/>
                <w:lang w:eastAsia="en-US"/>
              </w:rPr>
              <w:t>ț</w:t>
            </w:r>
            <w:r w:rsidRPr="00C3632C">
              <w:rPr>
                <w:color w:val="000000"/>
                <w:lang w:eastAsia="en-US"/>
              </w:rPr>
              <w:t>e</w:t>
            </w:r>
            <w:r w:rsidRPr="00C3632C">
              <w:rPr>
                <w:rFonts w:ascii="Tahoma" w:hAnsi="Tahoma" w:cs="Tahoma"/>
                <w:color w:val="000000"/>
                <w:lang w:eastAsia="en-US"/>
              </w:rPr>
              <w:t>ș</w:t>
            </w:r>
            <w:r w:rsidRPr="00C3632C">
              <w:rPr>
                <w:color w:val="000000"/>
                <w:lang w:eastAsia="en-US"/>
              </w:rPr>
              <w:t>ti,membru permanent/secretar comisii de licen</w:t>
            </w:r>
            <w:r w:rsidRPr="00C3632C">
              <w:rPr>
                <w:rFonts w:ascii="Tahoma" w:hAnsi="Tahoma" w:cs="Tahoma"/>
                <w:color w:val="000000"/>
                <w:lang w:eastAsia="en-US"/>
              </w:rPr>
              <w:t>ț</w:t>
            </w:r>
            <w:r w:rsidRPr="00C3632C">
              <w:rPr>
                <w:color w:val="000000"/>
                <w:lang w:eastAsia="en-US"/>
              </w:rPr>
              <w:t>ă ori diserta</w:t>
            </w:r>
            <w:r w:rsidRPr="00C3632C">
              <w:rPr>
                <w:rFonts w:ascii="Tahoma" w:hAnsi="Tahoma" w:cs="Tahoma"/>
                <w:color w:val="000000"/>
                <w:lang w:eastAsia="en-US"/>
              </w:rPr>
              <w:t>ț</w:t>
            </w:r>
            <w:r w:rsidRPr="00C3632C">
              <w:rPr>
                <w:color w:val="000000"/>
                <w:lang w:eastAsia="en-US"/>
              </w:rPr>
              <w:t xml:space="preserve">ie. </w:t>
            </w:r>
          </w:p>
          <w:p w:rsidR="00B14BF1" w:rsidRPr="00C3632C" w:rsidRDefault="00B14BF1">
            <w:pPr>
              <w:rPr>
                <w:color w:val="000000"/>
                <w:lang w:eastAsia="en-US"/>
              </w:rPr>
            </w:pPr>
            <w:r w:rsidRPr="00C3632C">
              <w:rPr>
                <w:b/>
                <w:bCs/>
                <w:color w:val="000000"/>
                <w:lang w:eastAsia="en-US"/>
              </w:rPr>
              <w:t>1.2.</w:t>
            </w:r>
            <w:r w:rsidRPr="00C3632C">
              <w:rPr>
                <w:color w:val="000000"/>
                <w:lang w:eastAsia="en-US"/>
              </w:rPr>
              <w:t xml:space="preserve"> Activită</w:t>
            </w:r>
            <w:r w:rsidRPr="00C3632C">
              <w:rPr>
                <w:rFonts w:ascii="Tahoma" w:hAnsi="Tahoma" w:cs="Tahoma"/>
                <w:color w:val="000000"/>
                <w:lang w:eastAsia="en-US"/>
              </w:rPr>
              <w:t>ț</w:t>
            </w:r>
            <w:r w:rsidRPr="00C3632C">
              <w:rPr>
                <w:color w:val="000000"/>
                <w:lang w:eastAsia="en-US"/>
              </w:rPr>
              <w:t>i de promovare UAIC ; Caravana UAIC ; participare târguri, expoziţii, evenimente instituţionale</w:t>
            </w:r>
          </w:p>
          <w:p w:rsidR="00B14BF1" w:rsidRPr="00C3632C" w:rsidRDefault="00B14BF1">
            <w:pPr>
              <w:spacing w:after="200" w:line="276" w:lineRule="auto"/>
              <w:rPr>
                <w:spacing w:val="-5"/>
                <w:sz w:val="22"/>
                <w:szCs w:val="22"/>
                <w:lang w:eastAsia="en-US"/>
              </w:rPr>
            </w:pPr>
            <w:r w:rsidRPr="00C3632C">
              <w:rPr>
                <w:b/>
                <w:bCs/>
                <w:color w:val="000000"/>
                <w:lang w:eastAsia="en-US"/>
              </w:rPr>
              <w:t>1.3.</w:t>
            </w:r>
            <w:r w:rsidRPr="00C3632C">
              <w:rPr>
                <w:color w:val="000000"/>
                <w:lang w:eastAsia="en-US"/>
              </w:rPr>
              <w:t xml:space="preserve"> Responsabil evaluări ARACIS, UEFISCDI, CNECSDTI etc.</w:t>
            </w:r>
          </w:p>
        </w:tc>
        <w:tc>
          <w:tcPr>
            <w:tcW w:w="3473" w:type="dxa"/>
            <w:tcBorders>
              <w:top w:val="single" w:sz="4" w:space="0" w:color="000000"/>
              <w:left w:val="single" w:sz="4" w:space="0" w:color="000000"/>
              <w:bottom w:val="single" w:sz="4" w:space="0" w:color="000000"/>
              <w:right w:val="single" w:sz="4" w:space="0" w:color="000000"/>
            </w:tcBorders>
          </w:tcPr>
          <w:p w:rsidR="00B14BF1" w:rsidRPr="00C3632C" w:rsidRDefault="00B14BF1">
            <w:pPr>
              <w:rPr>
                <w:color w:val="000000"/>
                <w:lang w:eastAsia="en-US"/>
              </w:rPr>
            </w:pPr>
            <w:r w:rsidRPr="00C3632C">
              <w:rPr>
                <w:color w:val="000000"/>
                <w:lang w:eastAsia="en-US"/>
              </w:rPr>
              <w:t>5 puncte pentru fiecare activitate/ pe an</w:t>
            </w:r>
          </w:p>
          <w:p w:rsidR="00B14BF1" w:rsidRPr="00C3632C" w:rsidRDefault="00B14BF1">
            <w:pPr>
              <w:rPr>
                <w:color w:val="000000"/>
                <w:lang w:eastAsia="en-US"/>
              </w:rPr>
            </w:pPr>
          </w:p>
          <w:p w:rsidR="00B14BF1" w:rsidRPr="00C3632C" w:rsidRDefault="00B14BF1">
            <w:pPr>
              <w:rPr>
                <w:color w:val="000000"/>
                <w:lang w:eastAsia="en-US"/>
              </w:rPr>
            </w:pPr>
          </w:p>
          <w:p w:rsidR="00B14BF1" w:rsidRPr="00C3632C" w:rsidRDefault="00B14BF1">
            <w:pPr>
              <w:rPr>
                <w:color w:val="000000"/>
                <w:lang w:eastAsia="en-US"/>
              </w:rPr>
            </w:pPr>
          </w:p>
          <w:p w:rsidR="00B14BF1" w:rsidRPr="00C3632C" w:rsidRDefault="00B14BF1">
            <w:pPr>
              <w:rPr>
                <w:color w:val="000000"/>
                <w:lang w:eastAsia="en-US"/>
              </w:rPr>
            </w:pPr>
          </w:p>
          <w:p w:rsidR="00B14BF1" w:rsidRPr="00C3632C" w:rsidRDefault="00B14BF1">
            <w:pPr>
              <w:rPr>
                <w:color w:val="000000"/>
                <w:lang w:eastAsia="en-US"/>
              </w:rPr>
            </w:pPr>
          </w:p>
          <w:p w:rsidR="00B14BF1" w:rsidRPr="00C3632C" w:rsidRDefault="00B14BF1">
            <w:pPr>
              <w:rPr>
                <w:color w:val="000000"/>
                <w:lang w:eastAsia="en-US"/>
              </w:rPr>
            </w:pPr>
            <w:r w:rsidRPr="00C3632C">
              <w:rPr>
                <w:color w:val="000000"/>
                <w:lang w:eastAsia="en-US"/>
              </w:rPr>
              <w:t>5 puncte/deplasare</w:t>
            </w:r>
          </w:p>
          <w:p w:rsidR="00B14BF1" w:rsidRPr="00C3632C" w:rsidRDefault="00B14BF1">
            <w:pPr>
              <w:rPr>
                <w:color w:val="000000"/>
                <w:lang w:eastAsia="en-US"/>
              </w:rPr>
            </w:pPr>
          </w:p>
          <w:p w:rsidR="00B14BF1" w:rsidRPr="00C3632C" w:rsidRDefault="00B14BF1">
            <w:pPr>
              <w:rPr>
                <w:color w:val="000000"/>
                <w:lang w:eastAsia="en-US"/>
              </w:rPr>
            </w:pPr>
          </w:p>
          <w:p w:rsidR="00B14BF1" w:rsidRPr="00C3632C" w:rsidRDefault="00B14BF1">
            <w:pPr>
              <w:spacing w:after="200" w:line="276" w:lineRule="auto"/>
              <w:rPr>
                <w:sz w:val="22"/>
                <w:szCs w:val="22"/>
                <w:lang w:eastAsia="en-US"/>
              </w:rPr>
            </w:pPr>
            <w:r w:rsidRPr="00C3632C">
              <w:rPr>
                <w:color w:val="000000"/>
                <w:lang w:eastAsia="en-US"/>
              </w:rPr>
              <w:t>50 puncte/evaluare/membru echipă de lucru</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pacing w:val="-5"/>
                <w:sz w:val="22"/>
                <w:szCs w:val="22"/>
                <w:lang w:eastAsia="en-US"/>
              </w:rPr>
            </w:pPr>
            <w:r w:rsidRPr="00C3632C">
              <w:rPr>
                <w:b/>
                <w:bCs/>
                <w:color w:val="000000"/>
                <w:lang w:eastAsia="en-US"/>
              </w:rPr>
              <w:t>2.</w:t>
            </w:r>
            <w:r w:rsidRPr="00C3632C">
              <w:rPr>
                <w:color w:val="000000"/>
                <w:lang w:eastAsia="en-US"/>
              </w:rPr>
              <w:t xml:space="preserve"> Organizare manifestări ştiinţifice (conferin</w:t>
            </w:r>
            <w:r w:rsidRPr="00C3632C">
              <w:rPr>
                <w:rFonts w:ascii="Tahoma" w:hAnsi="Tahoma" w:cs="Tahoma"/>
                <w:color w:val="000000"/>
                <w:lang w:eastAsia="en-US"/>
              </w:rPr>
              <w:t>ț</w:t>
            </w:r>
            <w:r w:rsidRPr="00C3632C">
              <w:rPr>
                <w:color w:val="000000"/>
                <w:lang w:eastAsia="en-US"/>
              </w:rPr>
              <w:t xml:space="preserve">e, congrese, colocvii) şi </w:t>
            </w:r>
            <w:r w:rsidRPr="00C3632C">
              <w:rPr>
                <w:lang w:eastAsia="en-US"/>
              </w:rPr>
              <w:t>şcoli de vară, demonstrabile cu link la pagina web</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color w:val="000000"/>
                <w:lang w:eastAsia="en-US"/>
              </w:rPr>
            </w:pPr>
            <w:r w:rsidRPr="00C3632C">
              <w:rPr>
                <w:color w:val="000000"/>
                <w:lang w:eastAsia="en-US"/>
              </w:rPr>
              <w:t xml:space="preserve">internaţionale: </w:t>
            </w:r>
          </w:p>
          <w:p w:rsidR="00B14BF1" w:rsidRPr="00C3632C" w:rsidRDefault="00B14BF1">
            <w:pPr>
              <w:rPr>
                <w:color w:val="000000"/>
                <w:lang w:eastAsia="en-US"/>
              </w:rPr>
            </w:pPr>
            <w:r w:rsidRPr="00C3632C">
              <w:rPr>
                <w:color w:val="000000"/>
                <w:lang w:eastAsia="en-US"/>
              </w:rPr>
              <w:t>coordonator: 15 puncte / activitate;</w:t>
            </w:r>
          </w:p>
          <w:p w:rsidR="00B14BF1" w:rsidRPr="00C3632C" w:rsidRDefault="00B14BF1">
            <w:pPr>
              <w:rPr>
                <w:color w:val="000000"/>
                <w:lang w:eastAsia="en-US"/>
              </w:rPr>
            </w:pPr>
            <w:r w:rsidRPr="00C3632C">
              <w:rPr>
                <w:color w:val="000000"/>
                <w:lang w:eastAsia="en-US"/>
              </w:rPr>
              <w:t>membru comitet organizare: 5 puncte / activitate;</w:t>
            </w:r>
          </w:p>
          <w:p w:rsidR="00B14BF1" w:rsidRPr="00C3632C" w:rsidRDefault="00B14BF1">
            <w:pPr>
              <w:rPr>
                <w:color w:val="000000"/>
                <w:lang w:eastAsia="en-US"/>
              </w:rPr>
            </w:pPr>
            <w:r w:rsidRPr="00C3632C">
              <w:rPr>
                <w:color w:val="000000"/>
                <w:lang w:eastAsia="en-US"/>
              </w:rPr>
              <w:t xml:space="preserve">naţionale: </w:t>
            </w:r>
          </w:p>
          <w:p w:rsidR="00B14BF1" w:rsidRPr="00C3632C" w:rsidRDefault="00B14BF1">
            <w:pPr>
              <w:rPr>
                <w:color w:val="000000"/>
                <w:lang w:eastAsia="en-US"/>
              </w:rPr>
            </w:pPr>
            <w:r w:rsidRPr="00C3632C">
              <w:rPr>
                <w:color w:val="000000"/>
                <w:lang w:eastAsia="en-US"/>
              </w:rPr>
              <w:t>coordonator 10 puncte / activitate;</w:t>
            </w:r>
          </w:p>
          <w:p w:rsidR="00B14BF1" w:rsidRPr="00C3632C" w:rsidRDefault="00B14BF1">
            <w:pPr>
              <w:spacing w:after="200" w:line="276" w:lineRule="auto"/>
              <w:rPr>
                <w:sz w:val="22"/>
                <w:szCs w:val="22"/>
                <w:lang w:eastAsia="en-US"/>
              </w:rPr>
            </w:pPr>
            <w:r w:rsidRPr="00C3632C">
              <w:rPr>
                <w:color w:val="000000"/>
                <w:lang w:eastAsia="en-US"/>
              </w:rPr>
              <w:t>membru comitet organizare: 3 puncte / activitate</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b/>
                <w:bCs/>
                <w:lang w:eastAsia="en-US"/>
              </w:rPr>
              <w:t xml:space="preserve">3. </w:t>
            </w:r>
            <w:r w:rsidRPr="00C3632C">
              <w:rPr>
                <w:lang w:eastAsia="en-US"/>
              </w:rPr>
              <w:t>Responsabilităţi în cadrul Universităţii, facultăţilor şi în cadruldepartamentelor conexe activităţilor de cercetare</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color w:val="000000"/>
                <w:lang w:eastAsia="en-US"/>
              </w:rPr>
            </w:pPr>
            <w:r w:rsidRPr="00C3632C">
              <w:rPr>
                <w:color w:val="000000"/>
                <w:lang w:eastAsia="en-US"/>
              </w:rPr>
              <w:t>Rector: 50 puncte anual;</w:t>
            </w:r>
          </w:p>
          <w:p w:rsidR="00B14BF1" w:rsidRPr="00C3632C" w:rsidRDefault="00B14BF1">
            <w:pPr>
              <w:rPr>
                <w:color w:val="000000"/>
                <w:lang w:eastAsia="en-US"/>
              </w:rPr>
            </w:pPr>
            <w:r w:rsidRPr="00C3632C">
              <w:rPr>
                <w:color w:val="000000"/>
                <w:lang w:eastAsia="en-US"/>
              </w:rPr>
              <w:t>Prorectori, Director CSUD, Director FC/ID/IFR: 45 puncte anual;</w:t>
            </w:r>
          </w:p>
          <w:p w:rsidR="00B14BF1" w:rsidRPr="00C3632C" w:rsidRDefault="00B14BF1">
            <w:pPr>
              <w:rPr>
                <w:color w:val="000000"/>
                <w:lang w:eastAsia="en-US"/>
              </w:rPr>
            </w:pPr>
            <w:r w:rsidRPr="00C3632C">
              <w:rPr>
                <w:color w:val="000000"/>
                <w:lang w:eastAsia="en-US"/>
              </w:rPr>
              <w:t>Decani: 40 puncte anual;</w:t>
            </w:r>
          </w:p>
          <w:p w:rsidR="00B14BF1" w:rsidRPr="00C3632C" w:rsidRDefault="00B14BF1">
            <w:pPr>
              <w:rPr>
                <w:color w:val="000000"/>
                <w:lang w:eastAsia="en-US"/>
              </w:rPr>
            </w:pPr>
            <w:r w:rsidRPr="00C3632C">
              <w:rPr>
                <w:color w:val="000000"/>
                <w:lang w:eastAsia="en-US"/>
              </w:rPr>
              <w:t>Prodecani, Directori Departamente interdisciplinare,Director Şcoală Doctorală, Director ID, Director Centrul de Studii Europene, Grădina Botanică, Muzee, Staţiuni de Cercetare: 35 puncte anual;</w:t>
            </w:r>
          </w:p>
          <w:p w:rsidR="00B14BF1" w:rsidRPr="00C3632C" w:rsidRDefault="00B14BF1">
            <w:pPr>
              <w:rPr>
                <w:color w:val="000000"/>
                <w:lang w:eastAsia="en-US"/>
              </w:rPr>
            </w:pPr>
            <w:r w:rsidRPr="00C3632C">
              <w:rPr>
                <w:color w:val="000000"/>
                <w:lang w:eastAsia="en-US"/>
              </w:rPr>
              <w:t>Director departament facultate: 30 puncte anual;</w:t>
            </w:r>
          </w:p>
          <w:p w:rsidR="00B14BF1" w:rsidRPr="00C3632C" w:rsidRDefault="00B14BF1">
            <w:pPr>
              <w:spacing w:after="200" w:line="276" w:lineRule="auto"/>
              <w:rPr>
                <w:color w:val="000000"/>
                <w:sz w:val="22"/>
                <w:szCs w:val="22"/>
                <w:lang w:eastAsia="en-US"/>
              </w:rPr>
            </w:pPr>
            <w:r w:rsidRPr="00C3632C">
              <w:rPr>
                <w:color w:val="000000"/>
                <w:lang w:eastAsia="en-US"/>
              </w:rPr>
              <w:t xml:space="preserve">Coordonator laborator, grup, </w:t>
            </w:r>
            <w:r w:rsidRPr="00C3632C">
              <w:rPr>
                <w:color w:val="000000"/>
                <w:lang w:eastAsia="en-US"/>
              </w:rPr>
              <w:lastRenderedPageBreak/>
              <w:t>colectiv: 10 puncte anual</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b/>
                <w:bCs/>
                <w:color w:val="000000"/>
                <w:sz w:val="22"/>
                <w:szCs w:val="22"/>
                <w:lang w:eastAsia="en-US"/>
              </w:rPr>
            </w:pPr>
            <w:r w:rsidRPr="00C3632C">
              <w:rPr>
                <w:b/>
                <w:bCs/>
                <w:lang w:eastAsia="en-US"/>
              </w:rPr>
              <w:t xml:space="preserve">4. </w:t>
            </w:r>
            <w:r w:rsidRPr="00C3632C">
              <w:rPr>
                <w:lang w:eastAsia="en-US"/>
              </w:rPr>
              <w:t>Responsabilităţi în cadrul Senatului Universită</w:t>
            </w:r>
            <w:r w:rsidRPr="00C3632C">
              <w:rPr>
                <w:rFonts w:ascii="Tahoma" w:hAnsi="Tahoma" w:cs="Tahoma"/>
                <w:lang w:eastAsia="en-US"/>
              </w:rPr>
              <w:t>ț</w:t>
            </w:r>
            <w:r w:rsidRPr="00C3632C">
              <w:rPr>
                <w:lang w:eastAsia="en-US"/>
              </w:rPr>
              <w:t>ii / Consiliului facultăţii / Consiliul departamentului</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lang w:eastAsia="en-US"/>
              </w:rPr>
              <w:t>Senat: pre</w:t>
            </w:r>
            <w:r w:rsidRPr="00C3632C">
              <w:rPr>
                <w:rFonts w:ascii="Tahoma" w:hAnsi="Tahoma" w:cs="Tahoma"/>
                <w:lang w:eastAsia="en-US"/>
              </w:rPr>
              <w:t>ș</w:t>
            </w:r>
            <w:r w:rsidRPr="00C3632C">
              <w:rPr>
                <w:lang w:eastAsia="en-US"/>
              </w:rPr>
              <w:t>edinte - 30 puncte anual/ vicepre</w:t>
            </w:r>
            <w:r w:rsidRPr="00C3632C">
              <w:rPr>
                <w:rFonts w:ascii="Tahoma" w:hAnsi="Tahoma" w:cs="Tahoma"/>
                <w:lang w:eastAsia="en-US"/>
              </w:rPr>
              <w:t>ș</w:t>
            </w:r>
            <w:r w:rsidRPr="00C3632C">
              <w:rPr>
                <w:lang w:eastAsia="en-US"/>
              </w:rPr>
              <w:t>edinte - 25 puncte anual / pre</w:t>
            </w:r>
            <w:r w:rsidRPr="00C3632C">
              <w:rPr>
                <w:rFonts w:ascii="Tahoma" w:hAnsi="Tahoma" w:cs="Tahoma"/>
                <w:lang w:eastAsia="en-US"/>
              </w:rPr>
              <w:t>ș</w:t>
            </w:r>
            <w:r w:rsidRPr="00C3632C">
              <w:rPr>
                <w:lang w:eastAsia="en-US"/>
              </w:rPr>
              <w:t>edinte al unei comisii de specialitate - 20 puncte anual/ membru – 15 puncte anual</w:t>
            </w:r>
          </w:p>
          <w:p w:rsidR="00B14BF1" w:rsidRPr="00C3632C" w:rsidRDefault="00B14BF1">
            <w:pPr>
              <w:rPr>
                <w:lang w:eastAsia="en-US"/>
              </w:rPr>
            </w:pPr>
            <w:r w:rsidRPr="00C3632C">
              <w:rPr>
                <w:lang w:eastAsia="en-US"/>
              </w:rPr>
              <w:t>Facultate: 10 puncte anual</w:t>
            </w:r>
          </w:p>
          <w:p w:rsidR="00B14BF1" w:rsidRPr="00C3632C" w:rsidRDefault="00B14BF1">
            <w:pPr>
              <w:spacing w:after="200" w:line="276" w:lineRule="auto"/>
              <w:rPr>
                <w:color w:val="000000"/>
                <w:sz w:val="22"/>
                <w:szCs w:val="22"/>
                <w:lang w:eastAsia="en-US"/>
              </w:rPr>
            </w:pPr>
            <w:r w:rsidRPr="00C3632C">
              <w:rPr>
                <w:lang w:eastAsia="en-US"/>
              </w:rPr>
              <w:t>Departament: 5 puncte anual</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sz w:val="22"/>
                <w:szCs w:val="22"/>
                <w:lang w:eastAsia="en-US"/>
              </w:rPr>
            </w:pPr>
            <w:r w:rsidRPr="00C3632C">
              <w:rPr>
                <w:b/>
                <w:bCs/>
                <w:lang w:eastAsia="en-US"/>
              </w:rPr>
              <w:t>5.</w:t>
            </w:r>
            <w:r w:rsidRPr="00C3632C">
              <w:rPr>
                <w:lang w:eastAsia="en-US"/>
              </w:rPr>
              <w:t xml:space="preserve"> Membru în comisii ale universită</w:t>
            </w:r>
            <w:r w:rsidRPr="00C3632C">
              <w:rPr>
                <w:rFonts w:ascii="Tahoma" w:hAnsi="Tahoma" w:cs="Tahoma"/>
                <w:lang w:eastAsia="en-US"/>
              </w:rPr>
              <w:t>ț</w:t>
            </w:r>
            <w:r w:rsidRPr="00C3632C">
              <w:rPr>
                <w:lang w:eastAsia="en-US"/>
              </w:rPr>
              <w:t>ii avizate de Senat (Comisia de Etică, Comisia pentru managementul calită</w:t>
            </w:r>
            <w:r w:rsidRPr="00C3632C">
              <w:rPr>
                <w:rFonts w:ascii="Tahoma" w:hAnsi="Tahoma" w:cs="Tahoma"/>
                <w:lang w:eastAsia="en-US"/>
              </w:rPr>
              <w:t>ț</w:t>
            </w:r>
            <w:r w:rsidRPr="00C3632C">
              <w:rPr>
                <w:lang w:eastAsia="en-US"/>
              </w:rPr>
              <w:t xml:space="preserve">ii, </w:t>
            </w:r>
            <w:r w:rsidRPr="00C3632C">
              <w:rPr>
                <w:color w:val="0000FF"/>
                <w:lang w:eastAsia="en-US"/>
              </w:rPr>
              <w:t xml:space="preserve">Comisia de regulamente, </w:t>
            </w:r>
            <w:r w:rsidRPr="00C3632C">
              <w:rPr>
                <w:lang w:eastAsia="en-US"/>
              </w:rPr>
              <w:t>etc.)</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lang w:eastAsia="en-US"/>
              </w:rPr>
              <w:t>10 puncte anual /comisie</w:t>
            </w:r>
          </w:p>
          <w:p w:rsidR="00B14BF1" w:rsidRPr="00C3632C" w:rsidRDefault="00B14BF1">
            <w:pPr>
              <w:spacing w:after="200" w:line="276" w:lineRule="auto"/>
              <w:rPr>
                <w:color w:val="0000FF"/>
                <w:sz w:val="22"/>
                <w:szCs w:val="22"/>
                <w:lang w:eastAsia="en-US"/>
              </w:rPr>
            </w:pPr>
            <w:r w:rsidRPr="00C3632C">
              <w:rPr>
                <w:color w:val="0000FF"/>
                <w:lang w:eastAsia="en-US"/>
              </w:rPr>
              <w:t xml:space="preserve"> </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b/>
                <w:bCs/>
                <w:color w:val="000000"/>
                <w:sz w:val="22"/>
                <w:szCs w:val="22"/>
                <w:lang w:eastAsia="en-US"/>
              </w:rPr>
            </w:pPr>
            <w:r w:rsidRPr="00C3632C">
              <w:rPr>
                <w:b/>
                <w:bCs/>
                <w:lang w:eastAsia="en-US"/>
              </w:rPr>
              <w:t xml:space="preserve">6. </w:t>
            </w:r>
            <w:r w:rsidRPr="00C3632C">
              <w:rPr>
                <w:lang w:eastAsia="en-US"/>
              </w:rPr>
              <w:t>Membru în comisii concurs în vederea ocupării un post didactic ori de cercetare în învă</w:t>
            </w:r>
            <w:r w:rsidRPr="00C3632C">
              <w:rPr>
                <w:rFonts w:ascii="Tahoma" w:hAnsi="Tahoma" w:cs="Tahoma"/>
                <w:lang w:eastAsia="en-US"/>
              </w:rPr>
              <w:t>ț</w:t>
            </w:r>
            <w:r w:rsidRPr="00C3632C">
              <w:rPr>
                <w:lang w:eastAsia="en-US"/>
              </w:rPr>
              <w:t>ământul universitar</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color w:val="000000"/>
                <w:sz w:val="22"/>
                <w:szCs w:val="22"/>
                <w:lang w:eastAsia="en-US"/>
              </w:rPr>
            </w:pPr>
            <w:r w:rsidRPr="00C3632C">
              <w:rPr>
                <w:lang w:eastAsia="en-US"/>
              </w:rPr>
              <w:t>5 puncte / comisie</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spacing w:after="200" w:line="276" w:lineRule="auto"/>
              <w:rPr>
                <w:b/>
                <w:bCs/>
                <w:color w:val="000000"/>
                <w:sz w:val="22"/>
                <w:szCs w:val="22"/>
                <w:lang w:eastAsia="en-US"/>
              </w:rPr>
            </w:pPr>
            <w:r w:rsidRPr="00C3632C">
              <w:rPr>
                <w:b/>
                <w:bCs/>
                <w:lang w:eastAsia="en-US"/>
              </w:rPr>
              <w:t>7.</w:t>
            </w:r>
            <w:r w:rsidRPr="00C3632C">
              <w:rPr>
                <w:lang w:eastAsia="en-US"/>
              </w:rPr>
              <w:t xml:space="preserve"> Membru comisii de doctorat </w:t>
            </w:r>
            <w:bookmarkStart w:id="0" w:name="_GoBack"/>
            <w:bookmarkEnd w:id="0"/>
            <w:r w:rsidRPr="00C3632C">
              <w:rPr>
                <w:lang w:eastAsia="en-US"/>
              </w:rPr>
              <w:t xml:space="preserve">(admitere, îndrumare </w:t>
            </w:r>
            <w:r w:rsidRPr="00C3632C">
              <w:rPr>
                <w:rFonts w:ascii="Tahoma" w:hAnsi="Tahoma" w:cs="Tahoma"/>
                <w:lang w:eastAsia="en-US"/>
              </w:rPr>
              <w:t>ș</w:t>
            </w:r>
            <w:r w:rsidRPr="00C3632C">
              <w:rPr>
                <w:lang w:eastAsia="en-US"/>
              </w:rPr>
              <w:t>i sus</w:t>
            </w:r>
            <w:r w:rsidRPr="00C3632C">
              <w:rPr>
                <w:rFonts w:ascii="Tahoma" w:hAnsi="Tahoma" w:cs="Tahoma"/>
                <w:lang w:eastAsia="en-US"/>
              </w:rPr>
              <w:t>ț</w:t>
            </w:r>
            <w:r w:rsidRPr="00C3632C">
              <w:rPr>
                <w:lang w:eastAsia="en-US"/>
              </w:rPr>
              <w:t>inere publică)</w:t>
            </w: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lang w:eastAsia="en-US"/>
              </w:rPr>
              <w:t>străinătate: 5 puncte pentru fiecare activitate;</w:t>
            </w:r>
          </w:p>
          <w:p w:rsidR="00B14BF1" w:rsidRPr="00C3632C" w:rsidRDefault="00B14BF1">
            <w:pPr>
              <w:spacing w:after="200" w:line="276" w:lineRule="auto"/>
              <w:rPr>
                <w:color w:val="000000"/>
                <w:sz w:val="22"/>
                <w:szCs w:val="22"/>
                <w:lang w:eastAsia="en-US"/>
              </w:rPr>
            </w:pPr>
            <w:r w:rsidRPr="00C3632C">
              <w:rPr>
                <w:lang w:eastAsia="en-US"/>
              </w:rPr>
              <w:t>ţară: 2 puncte pentru fiecare activitate</w:t>
            </w:r>
          </w:p>
        </w:tc>
      </w:tr>
      <w:tr w:rsidR="00B14BF1" w:rsidRPr="00C3632C" w:rsidTr="00B14BF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4BF1" w:rsidRPr="00C3632C" w:rsidRDefault="00B14BF1">
            <w:pPr>
              <w:rPr>
                <w:sz w:val="22"/>
                <w:szCs w:val="22"/>
                <w:lang w:eastAsia="en-US"/>
              </w:rPr>
            </w:pPr>
          </w:p>
        </w:tc>
        <w:tc>
          <w:tcPr>
            <w:tcW w:w="3820"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b/>
                <w:bCs/>
                <w:lang w:eastAsia="en-US"/>
              </w:rPr>
              <w:t>8.</w:t>
            </w:r>
            <w:r w:rsidRPr="00C3632C">
              <w:rPr>
                <w:lang w:eastAsia="en-US"/>
              </w:rPr>
              <w:t xml:space="preserve"> Proiecte pentru mobilităţi şi tip grant</w:t>
            </w:r>
          </w:p>
          <w:p w:rsidR="00B14BF1" w:rsidRPr="00C3632C" w:rsidRDefault="00B14BF1">
            <w:pPr>
              <w:spacing w:after="200" w:line="276" w:lineRule="auto"/>
              <w:rPr>
                <w:b/>
                <w:bCs/>
                <w:i/>
                <w:color w:val="000000"/>
                <w:sz w:val="22"/>
                <w:szCs w:val="22"/>
                <w:lang w:eastAsia="en-US"/>
              </w:rPr>
            </w:pPr>
          </w:p>
        </w:tc>
        <w:tc>
          <w:tcPr>
            <w:tcW w:w="3473" w:type="dxa"/>
            <w:tcBorders>
              <w:top w:val="single" w:sz="4" w:space="0" w:color="000000"/>
              <w:left w:val="single" w:sz="4" w:space="0" w:color="000000"/>
              <w:bottom w:val="single" w:sz="4" w:space="0" w:color="000000"/>
              <w:right w:val="single" w:sz="4" w:space="0" w:color="000000"/>
            </w:tcBorders>
            <w:hideMark/>
          </w:tcPr>
          <w:p w:rsidR="00B14BF1" w:rsidRPr="00C3632C" w:rsidRDefault="00B14BF1">
            <w:pPr>
              <w:rPr>
                <w:lang w:eastAsia="en-US"/>
              </w:rPr>
            </w:pPr>
            <w:r w:rsidRPr="00C3632C">
              <w:rPr>
                <w:lang w:eastAsia="en-US"/>
              </w:rPr>
              <w:t xml:space="preserve">coordonator: 20 puncte x valoarea proiectului / 2.000 Euro </w:t>
            </w:r>
          </w:p>
          <w:p w:rsidR="00B14BF1" w:rsidRPr="00C3632C" w:rsidRDefault="00B14BF1" w:rsidP="00B14BF1">
            <w:pPr>
              <w:spacing w:after="200" w:line="276" w:lineRule="auto"/>
              <w:rPr>
                <w:color w:val="000000"/>
                <w:sz w:val="22"/>
                <w:szCs w:val="22"/>
                <w:lang w:eastAsia="en-US"/>
              </w:rPr>
            </w:pPr>
            <w:r w:rsidRPr="00C3632C">
              <w:rPr>
                <w:lang w:eastAsia="en-US"/>
              </w:rPr>
              <w:t>membru: 10 puncte x valoarea proiectului / 2.000 Euro /numărul membrilor echipei</w:t>
            </w:r>
          </w:p>
        </w:tc>
      </w:tr>
    </w:tbl>
    <w:p w:rsidR="00B14BF1" w:rsidRPr="00C3632C" w:rsidRDefault="00B14BF1" w:rsidP="00B14BF1">
      <w:pPr>
        <w:rPr>
          <w:rFonts w:ascii="Calibri" w:hAnsi="Calibri" w:cs="Calibri"/>
          <w:sz w:val="22"/>
          <w:szCs w:val="22"/>
        </w:rPr>
      </w:pPr>
    </w:p>
    <w:p w:rsidR="00B14BF1" w:rsidRDefault="00B14BF1" w:rsidP="00B14BF1">
      <w:pPr>
        <w:rPr>
          <w:b/>
          <w:bCs/>
        </w:rPr>
      </w:pPr>
      <w:r w:rsidRPr="00C3632C">
        <w:rPr>
          <w:b/>
          <w:bCs/>
        </w:rPr>
        <w:t>(1) Un rezultat poate fi punctat o singură dată, la criteriul ales de candidat</w:t>
      </w:r>
    </w:p>
    <w:p w:rsidR="0065104F" w:rsidRDefault="0065104F" w:rsidP="00683518">
      <w:pPr>
        <w:jc w:val="center"/>
      </w:pPr>
    </w:p>
    <w:sectPr w:rsidR="0065104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37" w:rsidRDefault="00C43437" w:rsidP="00683518">
      <w:r>
        <w:separator/>
      </w:r>
    </w:p>
  </w:endnote>
  <w:endnote w:type="continuationSeparator" w:id="0">
    <w:p w:rsidR="00C43437" w:rsidRDefault="00C43437" w:rsidP="0068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64" w:rsidRDefault="00683518">
    <w:pPr>
      <w:pStyle w:val="Footer"/>
    </w:pPr>
    <w:r>
      <w:t xml:space="preserve">Decan, </w:t>
    </w:r>
    <w:r>
      <w:tab/>
      <w:t xml:space="preserve">        Departament </w:t>
    </w:r>
    <w:r w:rsidR="001D5864">
      <w:t>Filosofie</w:t>
    </w:r>
  </w:p>
  <w:p w:rsidR="00683518" w:rsidRDefault="00683518">
    <w:pPr>
      <w:pStyle w:val="Footer"/>
    </w:pPr>
    <w:r>
      <w:t xml:space="preserve">C. ŞOITU         </w:t>
    </w:r>
    <w:r w:rsidR="001D5864">
      <w:t xml:space="preserve">                                    P. BEJAN</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37" w:rsidRDefault="00C43437" w:rsidP="00683518">
      <w:r>
        <w:separator/>
      </w:r>
    </w:p>
  </w:footnote>
  <w:footnote w:type="continuationSeparator" w:id="0">
    <w:p w:rsidR="00C43437" w:rsidRDefault="00C43437" w:rsidP="00683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79601"/>
      <w:docPartObj>
        <w:docPartGallery w:val="Page Numbers (Top of Page)"/>
        <w:docPartUnique/>
      </w:docPartObj>
    </w:sdtPr>
    <w:sdtEndPr>
      <w:rPr>
        <w:noProof/>
      </w:rPr>
    </w:sdtEndPr>
    <w:sdtContent>
      <w:p w:rsidR="00B3759E" w:rsidRDefault="00B3759E">
        <w:pPr>
          <w:pStyle w:val="Header"/>
          <w:jc w:val="right"/>
        </w:pPr>
        <w:r>
          <w:fldChar w:fldCharType="begin"/>
        </w:r>
        <w:r>
          <w:instrText xml:space="preserve"> PAGE   \* MERGEFORMAT </w:instrText>
        </w:r>
        <w:r>
          <w:fldChar w:fldCharType="separate"/>
        </w:r>
        <w:r w:rsidR="00C3632C">
          <w:rPr>
            <w:noProof/>
          </w:rPr>
          <w:t>4</w:t>
        </w:r>
        <w:r>
          <w:rPr>
            <w:noProof/>
          </w:rPr>
          <w:fldChar w:fldCharType="end"/>
        </w:r>
      </w:p>
    </w:sdtContent>
  </w:sdt>
  <w:p w:rsidR="00B3759E" w:rsidRDefault="00B37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1"/>
    <w:lvl w:ilvl="0">
      <w:start w:val="1"/>
      <w:numFmt w:val="decimal"/>
      <w:suff w:val="nothing"/>
      <w:lvlText w:val="I%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2.%3."/>
      <w:lvlJc w:val="right"/>
      <w:pPr>
        <w:tabs>
          <w:tab w:val="num" w:pos="0"/>
        </w:tabs>
        <w:ind w:left="0" w:firstLine="0"/>
      </w:pPr>
    </w:lvl>
    <w:lvl w:ilvl="3">
      <w:start w:val="1"/>
      <w:numFmt w:val="decimal"/>
      <w:suff w:val="nothing"/>
      <w:lvlText w:val="%2.%3.%4."/>
      <w:lvlJc w:val="left"/>
      <w:pPr>
        <w:tabs>
          <w:tab w:val="num" w:pos="0"/>
        </w:tabs>
        <w:ind w:left="0" w:firstLine="0"/>
      </w:pPr>
    </w:lvl>
    <w:lvl w:ilvl="4">
      <w:start w:val="1"/>
      <w:numFmt w:val="lowerLetter"/>
      <w:suff w:val="nothing"/>
      <w:lvlText w:val="%2.%3.%4.%5."/>
      <w:lvlJc w:val="left"/>
      <w:pPr>
        <w:tabs>
          <w:tab w:val="num" w:pos="0"/>
        </w:tabs>
        <w:ind w:left="0" w:firstLine="0"/>
      </w:pPr>
    </w:lvl>
    <w:lvl w:ilvl="5">
      <w:start w:val="1"/>
      <w:numFmt w:val="lowerRoman"/>
      <w:suff w:val="nothing"/>
      <w:lvlText w:val="%2.%3.%4.%5.%6."/>
      <w:lvlJc w:val="right"/>
      <w:pPr>
        <w:tabs>
          <w:tab w:val="num" w:pos="0"/>
        </w:tabs>
        <w:ind w:left="0" w:firstLine="0"/>
      </w:pPr>
    </w:lvl>
    <w:lvl w:ilvl="6">
      <w:start w:val="1"/>
      <w:numFmt w:val="decimal"/>
      <w:suff w:val="nothing"/>
      <w:lvlText w:val="%2.%3.%4.%5.%6.%7."/>
      <w:lvlJc w:val="left"/>
      <w:pPr>
        <w:tabs>
          <w:tab w:val="num" w:pos="0"/>
        </w:tabs>
        <w:ind w:left="0" w:firstLine="0"/>
      </w:pPr>
    </w:lvl>
    <w:lvl w:ilvl="7">
      <w:start w:val="1"/>
      <w:numFmt w:val="lowerLetter"/>
      <w:suff w:val="nothing"/>
      <w:lvlText w:val="%2.%3.%4.%5.%6.%7.%8."/>
      <w:lvlJc w:val="left"/>
      <w:pPr>
        <w:tabs>
          <w:tab w:val="num" w:pos="0"/>
        </w:tabs>
        <w:ind w:left="0" w:firstLine="0"/>
      </w:pPr>
    </w:lvl>
    <w:lvl w:ilvl="8">
      <w:start w:val="1"/>
      <w:numFmt w:val="lowerRoman"/>
      <w:suff w:val="nothing"/>
      <w:lvlText w:val="%2.%3.%4.%5.%6.%7.%8.%9."/>
      <w:lvlJc w:val="right"/>
      <w:pPr>
        <w:tabs>
          <w:tab w:val="num" w:pos="0"/>
        </w:tabs>
        <w:ind w:left="0" w:firstLine="0"/>
      </w:pPr>
    </w:lvl>
  </w:abstractNum>
  <w:abstractNum w:abstractNumId="1">
    <w:nsid w:val="000018BE"/>
    <w:multiLevelType w:val="hybridMultilevel"/>
    <w:tmpl w:val="D3921B5C"/>
    <w:lvl w:ilvl="0" w:tplc="10BA2C70">
      <w:start w:val="1"/>
      <w:numFmt w:val="bullet"/>
      <w:lvlText w:val="•"/>
      <w:lvlJc w:val="left"/>
    </w:lvl>
    <w:lvl w:ilvl="1" w:tplc="1C4872BE">
      <w:numFmt w:val="decimal"/>
      <w:lvlText w:val=""/>
      <w:lvlJc w:val="left"/>
    </w:lvl>
    <w:lvl w:ilvl="2" w:tplc="60E0EFE4">
      <w:numFmt w:val="decimal"/>
      <w:lvlText w:val=""/>
      <w:lvlJc w:val="left"/>
    </w:lvl>
    <w:lvl w:ilvl="3" w:tplc="A29CE3A4">
      <w:numFmt w:val="decimal"/>
      <w:lvlText w:val=""/>
      <w:lvlJc w:val="left"/>
    </w:lvl>
    <w:lvl w:ilvl="4" w:tplc="BBB0C160">
      <w:numFmt w:val="decimal"/>
      <w:lvlText w:val=""/>
      <w:lvlJc w:val="left"/>
    </w:lvl>
    <w:lvl w:ilvl="5" w:tplc="1C5667BE">
      <w:numFmt w:val="decimal"/>
      <w:lvlText w:val=""/>
      <w:lvlJc w:val="left"/>
    </w:lvl>
    <w:lvl w:ilvl="6" w:tplc="3E70D0A0">
      <w:numFmt w:val="decimal"/>
      <w:lvlText w:val=""/>
      <w:lvlJc w:val="left"/>
    </w:lvl>
    <w:lvl w:ilvl="7" w:tplc="01DEF668">
      <w:numFmt w:val="decimal"/>
      <w:lvlText w:val=""/>
      <w:lvlJc w:val="left"/>
    </w:lvl>
    <w:lvl w:ilvl="8" w:tplc="88AA5ED2">
      <w:numFmt w:val="decimal"/>
      <w:lvlText w:val=""/>
      <w:lvlJc w:val="left"/>
    </w:lvl>
  </w:abstractNum>
  <w:abstractNum w:abstractNumId="2">
    <w:nsid w:val="00006784"/>
    <w:multiLevelType w:val="hybridMultilevel"/>
    <w:tmpl w:val="2D7C7BD8"/>
    <w:lvl w:ilvl="0" w:tplc="7E388680">
      <w:start w:val="1"/>
      <w:numFmt w:val="bullet"/>
      <w:lvlText w:val="•"/>
      <w:lvlJc w:val="left"/>
    </w:lvl>
    <w:lvl w:ilvl="1" w:tplc="52A634B4">
      <w:numFmt w:val="decimal"/>
      <w:lvlText w:val=""/>
      <w:lvlJc w:val="left"/>
    </w:lvl>
    <w:lvl w:ilvl="2" w:tplc="5726B10A">
      <w:numFmt w:val="decimal"/>
      <w:lvlText w:val=""/>
      <w:lvlJc w:val="left"/>
    </w:lvl>
    <w:lvl w:ilvl="3" w:tplc="55A283FA">
      <w:numFmt w:val="decimal"/>
      <w:lvlText w:val=""/>
      <w:lvlJc w:val="left"/>
    </w:lvl>
    <w:lvl w:ilvl="4" w:tplc="71A8A320">
      <w:numFmt w:val="decimal"/>
      <w:lvlText w:val=""/>
      <w:lvlJc w:val="left"/>
    </w:lvl>
    <w:lvl w:ilvl="5" w:tplc="B48C087E">
      <w:numFmt w:val="decimal"/>
      <w:lvlText w:val=""/>
      <w:lvlJc w:val="left"/>
    </w:lvl>
    <w:lvl w:ilvl="6" w:tplc="2D126DEE">
      <w:numFmt w:val="decimal"/>
      <w:lvlText w:val=""/>
      <w:lvlJc w:val="left"/>
    </w:lvl>
    <w:lvl w:ilvl="7" w:tplc="E1C85364">
      <w:numFmt w:val="decimal"/>
      <w:lvlText w:val=""/>
      <w:lvlJc w:val="left"/>
    </w:lvl>
    <w:lvl w:ilvl="8" w:tplc="9CDC3B54">
      <w:numFmt w:val="decimal"/>
      <w:lvlText w:val=""/>
      <w:lvlJc w:val="left"/>
    </w:lvl>
  </w:abstractNum>
  <w:abstractNum w:abstractNumId="3">
    <w:nsid w:val="5A2C239D"/>
    <w:multiLevelType w:val="hybridMultilevel"/>
    <w:tmpl w:val="51709F4C"/>
    <w:lvl w:ilvl="0" w:tplc="6356524A">
      <w:start w:val="2"/>
      <w:numFmt w:val="decimal"/>
      <w:lvlText w:val="%1."/>
      <w:lvlJc w:val="left"/>
      <w:pPr>
        <w:tabs>
          <w:tab w:val="num" w:pos="735"/>
        </w:tabs>
        <w:ind w:left="735" w:hanging="360"/>
      </w:pPr>
      <w:rPr>
        <w:rFonts w:cs="Times New Roman" w:hint="default"/>
      </w:rPr>
    </w:lvl>
    <w:lvl w:ilvl="1" w:tplc="04180019">
      <w:start w:val="1"/>
      <w:numFmt w:val="lowerLetter"/>
      <w:lvlText w:val="%2."/>
      <w:lvlJc w:val="left"/>
      <w:pPr>
        <w:tabs>
          <w:tab w:val="num" w:pos="1455"/>
        </w:tabs>
        <w:ind w:left="1455" w:hanging="360"/>
      </w:pPr>
      <w:rPr>
        <w:rFonts w:cs="Times New Roman"/>
      </w:rPr>
    </w:lvl>
    <w:lvl w:ilvl="2" w:tplc="0418001B">
      <w:start w:val="1"/>
      <w:numFmt w:val="lowerRoman"/>
      <w:lvlText w:val="%3."/>
      <w:lvlJc w:val="right"/>
      <w:pPr>
        <w:tabs>
          <w:tab w:val="num" w:pos="2175"/>
        </w:tabs>
        <w:ind w:left="2175" w:hanging="180"/>
      </w:pPr>
      <w:rPr>
        <w:rFonts w:cs="Times New Roman"/>
      </w:rPr>
    </w:lvl>
    <w:lvl w:ilvl="3" w:tplc="0418000F">
      <w:start w:val="1"/>
      <w:numFmt w:val="decimal"/>
      <w:lvlText w:val="%4."/>
      <w:lvlJc w:val="left"/>
      <w:pPr>
        <w:tabs>
          <w:tab w:val="num" w:pos="2895"/>
        </w:tabs>
        <w:ind w:left="2895" w:hanging="360"/>
      </w:pPr>
      <w:rPr>
        <w:rFonts w:cs="Times New Roman"/>
      </w:rPr>
    </w:lvl>
    <w:lvl w:ilvl="4" w:tplc="04180019">
      <w:start w:val="1"/>
      <w:numFmt w:val="lowerLetter"/>
      <w:lvlText w:val="%5."/>
      <w:lvlJc w:val="left"/>
      <w:pPr>
        <w:tabs>
          <w:tab w:val="num" w:pos="3615"/>
        </w:tabs>
        <w:ind w:left="3615" w:hanging="360"/>
      </w:pPr>
      <w:rPr>
        <w:rFonts w:cs="Times New Roman"/>
      </w:rPr>
    </w:lvl>
    <w:lvl w:ilvl="5" w:tplc="0418001B">
      <w:start w:val="1"/>
      <w:numFmt w:val="lowerRoman"/>
      <w:lvlText w:val="%6."/>
      <w:lvlJc w:val="right"/>
      <w:pPr>
        <w:tabs>
          <w:tab w:val="num" w:pos="4335"/>
        </w:tabs>
        <w:ind w:left="4335" w:hanging="180"/>
      </w:pPr>
      <w:rPr>
        <w:rFonts w:cs="Times New Roman"/>
      </w:rPr>
    </w:lvl>
    <w:lvl w:ilvl="6" w:tplc="0418000F">
      <w:start w:val="1"/>
      <w:numFmt w:val="decimal"/>
      <w:lvlText w:val="%7."/>
      <w:lvlJc w:val="left"/>
      <w:pPr>
        <w:tabs>
          <w:tab w:val="num" w:pos="5055"/>
        </w:tabs>
        <w:ind w:left="5055" w:hanging="360"/>
      </w:pPr>
      <w:rPr>
        <w:rFonts w:cs="Times New Roman"/>
      </w:rPr>
    </w:lvl>
    <w:lvl w:ilvl="7" w:tplc="04180019">
      <w:start w:val="1"/>
      <w:numFmt w:val="lowerLetter"/>
      <w:lvlText w:val="%8."/>
      <w:lvlJc w:val="left"/>
      <w:pPr>
        <w:tabs>
          <w:tab w:val="num" w:pos="5775"/>
        </w:tabs>
        <w:ind w:left="5775" w:hanging="360"/>
      </w:pPr>
      <w:rPr>
        <w:rFonts w:cs="Times New Roman"/>
      </w:rPr>
    </w:lvl>
    <w:lvl w:ilvl="8" w:tplc="0418001B">
      <w:start w:val="1"/>
      <w:numFmt w:val="lowerRoman"/>
      <w:lvlText w:val="%9."/>
      <w:lvlJc w:val="right"/>
      <w:pPr>
        <w:tabs>
          <w:tab w:val="num" w:pos="6495"/>
        </w:tabs>
        <w:ind w:left="6495" w:hanging="180"/>
      </w:pPr>
      <w:rPr>
        <w:rFonts w:cs="Times New Roman"/>
      </w:rPr>
    </w:lvl>
  </w:abstractNum>
  <w:abstractNum w:abstractNumId="4">
    <w:nsid w:val="5C7D6235"/>
    <w:multiLevelType w:val="hybridMultilevel"/>
    <w:tmpl w:val="EAB6D1B6"/>
    <w:lvl w:ilvl="0" w:tplc="913E743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18"/>
    <w:rsid w:val="001D5864"/>
    <w:rsid w:val="0065104F"/>
    <w:rsid w:val="00683518"/>
    <w:rsid w:val="006F2639"/>
    <w:rsid w:val="00B14BF1"/>
    <w:rsid w:val="00B3759E"/>
    <w:rsid w:val="00C3632C"/>
    <w:rsid w:val="00C43437"/>
    <w:rsid w:val="00C4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1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3518"/>
    <w:pPr>
      <w:widowControl w:val="0"/>
      <w:autoSpaceDE w:val="0"/>
      <w:autoSpaceDN w:val="0"/>
      <w:adjustRightInd w:val="0"/>
    </w:pPr>
    <w:rPr>
      <w:sz w:val="20"/>
      <w:szCs w:val="20"/>
      <w:lang w:val="en-US" w:eastAsia="en-US"/>
    </w:rPr>
  </w:style>
  <w:style w:type="character" w:customStyle="1" w:styleId="FootnoteTextChar">
    <w:name w:val="Footnote Text Char"/>
    <w:basedOn w:val="DefaultParagraphFont"/>
    <w:link w:val="FootnoteText"/>
    <w:rsid w:val="00683518"/>
    <w:rPr>
      <w:rFonts w:ascii="Times New Roman" w:eastAsia="Times New Roman" w:hAnsi="Times New Roman" w:cs="Times New Roman"/>
      <w:sz w:val="20"/>
      <w:szCs w:val="20"/>
      <w:lang w:val="en-US"/>
    </w:rPr>
  </w:style>
  <w:style w:type="character" w:styleId="FootnoteReference">
    <w:name w:val="footnote reference"/>
    <w:rsid w:val="00683518"/>
    <w:rPr>
      <w:rFonts w:cs="Times New Roman"/>
      <w:vertAlign w:val="superscript"/>
    </w:rPr>
  </w:style>
  <w:style w:type="paragraph" w:styleId="ListParagraph">
    <w:name w:val="List Paragraph"/>
    <w:basedOn w:val="Normal"/>
    <w:qFormat/>
    <w:rsid w:val="00683518"/>
    <w:pPr>
      <w:ind w:left="720"/>
    </w:pPr>
  </w:style>
  <w:style w:type="paragraph" w:styleId="Header">
    <w:name w:val="header"/>
    <w:basedOn w:val="Normal"/>
    <w:link w:val="HeaderChar"/>
    <w:uiPriority w:val="99"/>
    <w:unhideWhenUsed/>
    <w:rsid w:val="00683518"/>
    <w:pPr>
      <w:tabs>
        <w:tab w:val="center" w:pos="4513"/>
        <w:tab w:val="right" w:pos="9026"/>
      </w:tabs>
    </w:pPr>
  </w:style>
  <w:style w:type="character" w:customStyle="1" w:styleId="HeaderChar">
    <w:name w:val="Header Char"/>
    <w:basedOn w:val="DefaultParagraphFont"/>
    <w:link w:val="Header"/>
    <w:uiPriority w:val="99"/>
    <w:rsid w:val="00683518"/>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83518"/>
    <w:pPr>
      <w:tabs>
        <w:tab w:val="center" w:pos="4513"/>
        <w:tab w:val="right" w:pos="9026"/>
      </w:tabs>
    </w:pPr>
  </w:style>
  <w:style w:type="character" w:customStyle="1" w:styleId="FooterChar">
    <w:name w:val="Footer Char"/>
    <w:basedOn w:val="DefaultParagraphFont"/>
    <w:link w:val="Footer"/>
    <w:uiPriority w:val="99"/>
    <w:rsid w:val="00683518"/>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683518"/>
    <w:rPr>
      <w:rFonts w:ascii="Tahoma" w:hAnsi="Tahoma" w:cs="Tahoma"/>
      <w:sz w:val="16"/>
      <w:szCs w:val="16"/>
    </w:rPr>
  </w:style>
  <w:style w:type="character" w:customStyle="1" w:styleId="BalloonTextChar">
    <w:name w:val="Balloon Text Char"/>
    <w:basedOn w:val="DefaultParagraphFont"/>
    <w:link w:val="BalloonText"/>
    <w:uiPriority w:val="99"/>
    <w:semiHidden/>
    <w:rsid w:val="00683518"/>
    <w:rPr>
      <w:rFonts w:ascii="Tahoma" w:eastAsia="Times New Roman" w:hAnsi="Tahoma" w:cs="Tahoma"/>
      <w:sz w:val="16"/>
      <w:szCs w:val="16"/>
      <w:lang w:val="ro-RO" w:eastAsia="ro-RO"/>
    </w:rPr>
  </w:style>
  <w:style w:type="paragraph" w:styleId="CommentText">
    <w:name w:val="annotation text"/>
    <w:basedOn w:val="Normal"/>
    <w:link w:val="CommentTextChar"/>
    <w:uiPriority w:val="99"/>
    <w:semiHidden/>
    <w:unhideWhenUsed/>
    <w:rsid w:val="00B14BF1"/>
    <w:rPr>
      <w:rFonts w:eastAsia="MS ??"/>
      <w:sz w:val="20"/>
      <w:szCs w:val="20"/>
      <w:lang w:val="en-US" w:eastAsia="en-US"/>
    </w:rPr>
  </w:style>
  <w:style w:type="character" w:customStyle="1" w:styleId="CommentTextChar">
    <w:name w:val="Comment Text Char"/>
    <w:basedOn w:val="DefaultParagraphFont"/>
    <w:link w:val="CommentText"/>
    <w:uiPriority w:val="99"/>
    <w:semiHidden/>
    <w:rsid w:val="00B14BF1"/>
    <w:rPr>
      <w:rFonts w:ascii="Times New Roman" w:eastAsia="MS ??" w:hAnsi="Times New Roman" w:cs="Times New Roman"/>
      <w:sz w:val="20"/>
      <w:szCs w:val="20"/>
      <w:lang w:val="en-US"/>
    </w:rPr>
  </w:style>
  <w:style w:type="character" w:styleId="CommentReference">
    <w:name w:val="annotation reference"/>
    <w:basedOn w:val="DefaultParagraphFont"/>
    <w:uiPriority w:val="99"/>
    <w:semiHidden/>
    <w:unhideWhenUsed/>
    <w:rsid w:val="00B14BF1"/>
    <w:rPr>
      <w:rFonts w:ascii="Times New Roman" w:hAnsi="Times New Roman" w:cs="Times New Roman" w:hint="default"/>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51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83518"/>
    <w:pPr>
      <w:widowControl w:val="0"/>
      <w:autoSpaceDE w:val="0"/>
      <w:autoSpaceDN w:val="0"/>
      <w:adjustRightInd w:val="0"/>
    </w:pPr>
    <w:rPr>
      <w:sz w:val="20"/>
      <w:szCs w:val="20"/>
      <w:lang w:val="en-US" w:eastAsia="en-US"/>
    </w:rPr>
  </w:style>
  <w:style w:type="character" w:customStyle="1" w:styleId="FootnoteTextChar">
    <w:name w:val="Footnote Text Char"/>
    <w:basedOn w:val="DefaultParagraphFont"/>
    <w:link w:val="FootnoteText"/>
    <w:rsid w:val="00683518"/>
    <w:rPr>
      <w:rFonts w:ascii="Times New Roman" w:eastAsia="Times New Roman" w:hAnsi="Times New Roman" w:cs="Times New Roman"/>
      <w:sz w:val="20"/>
      <w:szCs w:val="20"/>
      <w:lang w:val="en-US"/>
    </w:rPr>
  </w:style>
  <w:style w:type="character" w:styleId="FootnoteReference">
    <w:name w:val="footnote reference"/>
    <w:rsid w:val="00683518"/>
    <w:rPr>
      <w:rFonts w:cs="Times New Roman"/>
      <w:vertAlign w:val="superscript"/>
    </w:rPr>
  </w:style>
  <w:style w:type="paragraph" w:styleId="ListParagraph">
    <w:name w:val="List Paragraph"/>
    <w:basedOn w:val="Normal"/>
    <w:qFormat/>
    <w:rsid w:val="00683518"/>
    <w:pPr>
      <w:ind w:left="720"/>
    </w:pPr>
  </w:style>
  <w:style w:type="paragraph" w:styleId="Header">
    <w:name w:val="header"/>
    <w:basedOn w:val="Normal"/>
    <w:link w:val="HeaderChar"/>
    <w:uiPriority w:val="99"/>
    <w:unhideWhenUsed/>
    <w:rsid w:val="00683518"/>
    <w:pPr>
      <w:tabs>
        <w:tab w:val="center" w:pos="4513"/>
        <w:tab w:val="right" w:pos="9026"/>
      </w:tabs>
    </w:pPr>
  </w:style>
  <w:style w:type="character" w:customStyle="1" w:styleId="HeaderChar">
    <w:name w:val="Header Char"/>
    <w:basedOn w:val="DefaultParagraphFont"/>
    <w:link w:val="Header"/>
    <w:uiPriority w:val="99"/>
    <w:rsid w:val="00683518"/>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83518"/>
    <w:pPr>
      <w:tabs>
        <w:tab w:val="center" w:pos="4513"/>
        <w:tab w:val="right" w:pos="9026"/>
      </w:tabs>
    </w:pPr>
  </w:style>
  <w:style w:type="character" w:customStyle="1" w:styleId="FooterChar">
    <w:name w:val="Footer Char"/>
    <w:basedOn w:val="DefaultParagraphFont"/>
    <w:link w:val="Footer"/>
    <w:uiPriority w:val="99"/>
    <w:rsid w:val="00683518"/>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683518"/>
    <w:rPr>
      <w:rFonts w:ascii="Tahoma" w:hAnsi="Tahoma" w:cs="Tahoma"/>
      <w:sz w:val="16"/>
      <w:szCs w:val="16"/>
    </w:rPr>
  </w:style>
  <w:style w:type="character" w:customStyle="1" w:styleId="BalloonTextChar">
    <w:name w:val="Balloon Text Char"/>
    <w:basedOn w:val="DefaultParagraphFont"/>
    <w:link w:val="BalloonText"/>
    <w:uiPriority w:val="99"/>
    <w:semiHidden/>
    <w:rsid w:val="00683518"/>
    <w:rPr>
      <w:rFonts w:ascii="Tahoma" w:eastAsia="Times New Roman" w:hAnsi="Tahoma" w:cs="Tahoma"/>
      <w:sz w:val="16"/>
      <w:szCs w:val="16"/>
      <w:lang w:val="ro-RO" w:eastAsia="ro-RO"/>
    </w:rPr>
  </w:style>
  <w:style w:type="paragraph" w:styleId="CommentText">
    <w:name w:val="annotation text"/>
    <w:basedOn w:val="Normal"/>
    <w:link w:val="CommentTextChar"/>
    <w:uiPriority w:val="99"/>
    <w:semiHidden/>
    <w:unhideWhenUsed/>
    <w:rsid w:val="00B14BF1"/>
    <w:rPr>
      <w:rFonts w:eastAsia="MS ??"/>
      <w:sz w:val="20"/>
      <w:szCs w:val="20"/>
      <w:lang w:val="en-US" w:eastAsia="en-US"/>
    </w:rPr>
  </w:style>
  <w:style w:type="character" w:customStyle="1" w:styleId="CommentTextChar">
    <w:name w:val="Comment Text Char"/>
    <w:basedOn w:val="DefaultParagraphFont"/>
    <w:link w:val="CommentText"/>
    <w:uiPriority w:val="99"/>
    <w:semiHidden/>
    <w:rsid w:val="00B14BF1"/>
    <w:rPr>
      <w:rFonts w:ascii="Times New Roman" w:eastAsia="MS ??" w:hAnsi="Times New Roman" w:cs="Times New Roman"/>
      <w:sz w:val="20"/>
      <w:szCs w:val="20"/>
      <w:lang w:val="en-US"/>
    </w:rPr>
  </w:style>
  <w:style w:type="character" w:styleId="CommentReference">
    <w:name w:val="annotation reference"/>
    <w:basedOn w:val="DefaultParagraphFont"/>
    <w:uiPriority w:val="99"/>
    <w:semiHidden/>
    <w:unhideWhenUsed/>
    <w:rsid w:val="00B14BF1"/>
    <w:rPr>
      <w:rFonts w:ascii="Times New Roman" w:hAnsi="Times New Roman" w:cs="Times New Roman" w:hint="defaul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9296">
      <w:bodyDiv w:val="1"/>
      <w:marLeft w:val="0"/>
      <w:marRight w:val="0"/>
      <w:marTop w:val="0"/>
      <w:marBottom w:val="0"/>
      <w:divBdr>
        <w:top w:val="none" w:sz="0" w:space="0" w:color="auto"/>
        <w:left w:val="none" w:sz="0" w:space="0" w:color="auto"/>
        <w:bottom w:val="none" w:sz="0" w:space="0" w:color="auto"/>
        <w:right w:val="none" w:sz="0" w:space="0" w:color="auto"/>
      </w:divBdr>
    </w:div>
    <w:div w:id="18209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7CB7-56DD-468F-8AF1-52ADA370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FSSP</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dc:creator>
  <cp:lastModifiedBy>DECAN</cp:lastModifiedBy>
  <cp:revision>6</cp:revision>
  <dcterms:created xsi:type="dcterms:W3CDTF">2018-12-05T06:10:00Z</dcterms:created>
  <dcterms:modified xsi:type="dcterms:W3CDTF">2019-12-17T09:46:00Z</dcterms:modified>
</cp:coreProperties>
</file>