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Ştiinţe politice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Politici Publice şi Management Instituţional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ARDELEAN RE LAZĂR-ILIE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310640203002SM230022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BACIU A SEBASTIAN-CONSTANTIN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310640203002SM230024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BUTACU S ANDREEA-DIANA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CADARE I IONUŢ-ANTONIO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CRĂCIUN C VLAD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310640203002SM230020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DASCALU I RADU-IONEL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DOROŞ F ANDREI-DANIEL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DRAGOMIR S VALENTIN-ROBERTO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310640203002SM230025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FIGHIROAIE C IOANA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GORAŞ I OLIVIA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GRIGORE P SEBASTIAN CONSTANTIN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IORDACHE C ALIN-CONSTANTIN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MACOVEI V ALEXANDRU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MARCOVSCHI-MAHU CL IOAN-MARCO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310640203002SM230023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MIHAI LM LORENA 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NEACŞU N SILVIU-IONUŢ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PĂUNESCU D ROXANA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PETRESCU PP ILINCA-ALEXANDRA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PINTILIE N NECULAI-RĂZVAN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POPA V ADRIAN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RUSU V 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SAMARIS FG RĂZVAN-CONSTANTIN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310640203002SM230021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STAFIE GC MIHAI-MĂDĂLIN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310640203002SM230014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VASCAUŢAN A CRISTINA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VELENCIUC N ALEXANDRA-PETRONELA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310640203002SM230008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