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spacing w:after="24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</w:rPr>
        <w:t>Programul Erasmus+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 </w:t>
      </w:r>
    </w:p>
    <w:p>
      <w:pPr>
        <w:pStyle w:val="Corp"/>
        <w:spacing w:after="12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pt-PT"/>
        </w:rPr>
        <w:t>Formular de candidatur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pentru mobilit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ăț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i de practic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(SMT) de lung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it-IT"/>
        </w:rPr>
        <w:t>durat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03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22"/>
        <w:gridCol w:w="3521"/>
        <w:gridCol w:w="1145"/>
        <w:gridCol w:w="761"/>
        <w:gridCol w:w="2688"/>
      </w:tblGrid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Nume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Prenume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Adresa de email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r telefon </w:t>
            </w:r>
          </w:p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Facultate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Specializare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</w:pPr>
            <w:r>
              <w:rPr>
                <w:rFonts w:ascii="Verdana" w:hAnsi="Verdana"/>
                <w:color w:val="002060"/>
                <w:sz w:val="28"/>
                <w:szCs w:val="28"/>
                <w:u w:color="002060"/>
                <w:rtl w:val="0"/>
              </w:rPr>
              <w:t xml:space="preserve">    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65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Perioada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n care va  avea loc mobilitatea pentru care candidezi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"/>
        <w:spacing w:after="12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"/>
        <w:spacing w:after="120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tbl>
      <w:tblPr>
        <w:tblW w:w="101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pt-PT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s-ES_tradnl"/>
              </w:rPr>
              <w:t>M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de practic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fr-FR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 xml:space="preserve">ie </w:t>
            </w:r>
          </w:p>
        </w:tc>
      </w:tr>
      <w:tr>
        <w:tblPrEx>
          <w:shd w:val="clear" w:color="auto" w:fill="d0ddef"/>
        </w:tblPrEx>
        <w:trPr>
          <w:trHeight w:val="101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spacing w:after="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 xml:space="preserve">Informare privind prelucrarea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i afi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area datelor cu caracter personal</w:t>
            </w:r>
          </w:p>
        </w:tc>
      </w:tr>
      <w:tr>
        <w:tblPrEx>
          <w:shd w:val="clear" w:color="auto" w:fill="d0ddef"/>
        </w:tblPrEx>
        <w:trPr>
          <w:trHeight w:val="357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54"/>
            </w:tcMar>
            <w:vAlign w:val="center"/>
          </w:tcPr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conformitate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Regulamentului UE 679/2016 privind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persoanelor fizice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ceea ce prive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te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privind libera circula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ie a acestor date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de abrogare a Directivei 95/46/CE, respectiv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Legii nr. 506/2004, actualizat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la data de 17 octombrie 2015, privind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 private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sectorul comunica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iilor electronice,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are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legal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de a administra, prelucra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porta,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condi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 de siguran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ţă 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numai pentru scopurile prev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zute de legisla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vigoare, datele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personale pe care le furniza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prin documentele depuse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vederea candidaturii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ncheierii unui contract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are pentru o mobilitate studen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easc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cadrul Programului Erasmus+ implementat la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i.</w:t>
            </w:r>
          </w:p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lang w:val="en-US"/>
              </w:rPr>
            </w:pPr>
          </w:p>
          <w:p>
            <w:pPr>
              <w:pStyle w:val="Corp"/>
              <w:bidi w:val="0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De asemenea, av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â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nd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vedere obligativitatea respect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rii Cartei Erasmus+ (</w: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instrText xml:space="preserve"> HYPERLINK "https://www.uaic.ro/wp-content/uploads/2021/07/CARTA-ERASMUS-RO.pdf"</w:instrTex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CARTA-ERASMUS-RO.pdf (uaic.ro)</w:t>
            </w:r>
            <w:r>
              <w:rPr>
                <w:rFonts w:ascii="Verdana" w:cs="Verdana" w:hAnsi="Verdana" w:eastAsia="Verdana"/>
                <w:sz w:val="18"/>
                <w:szCs w:val="18"/>
              </w:rPr>
              <w:fldChar w:fldCharType="end" w:fldLock="0"/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)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baza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reia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implementeaz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proiecte de mobilitate Erasmus+, afisarea rezultatelor selec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iilor pentru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Erasmus+ cu numele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prenumele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este obligatorie+.</w:t>
            </w:r>
          </w:p>
          <w:p>
            <w:pPr>
              <w:pStyle w:val="Corp"/>
              <w:spacing w:after="0" w:line="240" w:lineRule="auto"/>
              <w:ind w:left="180" w:right="174" w:firstLine="0"/>
            </w:pPr>
            <w:r>
              <w:rPr>
                <w:rFonts w:ascii="Verdana" w:cs="Verdana" w:hAnsi="Verdana" w:eastAsia="Verdana"/>
                <w:sz w:val="18"/>
                <w:szCs w:val="18"/>
                <w:lang w:val="en-US"/>
              </w:rPr>
            </w:r>
          </w:p>
        </w:tc>
      </w:tr>
    </w:tbl>
    <w:p>
      <w:pPr>
        <w:pStyle w:val="Corp"/>
        <w:spacing w:line="240" w:lineRule="auto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Declara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ie cu privire la num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rul de luni de mobilitate Erasmus+ realizate</w:t>
            </w:r>
          </w:p>
        </w:tc>
      </w:tr>
      <w:tr>
        <w:tblPrEx>
          <w:shd w:val="clear" w:color="auto" w:fill="d0ddef"/>
        </w:tblPrEx>
        <w:trPr>
          <w:trHeight w:val="30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379"/>
            </w:tcMar>
            <w:vAlign w:val="center"/>
          </w:tcPr>
          <w:p>
            <w:pPr>
              <w:pStyle w:val="Corp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despre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ia de evitare a dublei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ţă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ri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pe perioada derul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rii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ii ERASMUS+ nu voi beneficia de fonduri din alte programe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ale Uniunii Europene.</w:t>
            </w:r>
          </w:p>
          <w:p>
            <w:pPr>
              <w:pStyle w:val="Corp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Pe durata ciclului de studiu (licen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/masterat/doctorat)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care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mi voi desf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ura mobilitatea ERASMUS+ nu totalizez mai mult de 12 luni de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Erasmus.</w:t>
            </w:r>
          </w:p>
          <w:p>
            <w:pPr>
              <w:pStyle w:val="Corp"/>
              <w:shd w:val="clear" w:color="auto" w:fill="ffffff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de faptul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durata total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maxim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eligibil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pentru care pot primi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 pentru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Erasmus este 12 luni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calculul celor 12 luni se iau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 considerare: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- perioadele Erasmus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cele cu zero-grant (studiu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practic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), inclusiv cele derulate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cadrul Programului de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pe tot Parcursul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ii (LLP), sub-programul Erasmus;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- perioadele de practic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 Erasmus+, derulate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 calitate de absolvent,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cele cu zero-grant.</w:t>
            </w:r>
            <w:r>
              <w:rPr>
                <w:rFonts w:ascii="Verdana" w:cs="Verdana" w:hAnsi="Verdana" w:eastAsia="Verdana"/>
                <w:sz w:val="18"/>
                <w:szCs w:val="18"/>
              </w:rPr>
            </w:r>
          </w:p>
        </w:tc>
      </w:tr>
    </w:tbl>
    <w:p>
      <w:pPr>
        <w:pStyle w:val="Corp"/>
        <w:spacing w:before="120" w:after="120" w:line="240" w:lineRule="auto"/>
        <w:ind w:right="299"/>
        <w:jc w:val="both"/>
        <w:rPr>
          <w:rFonts w:ascii="Verdana" w:cs="Verdana" w:hAnsi="Verdana" w:eastAsia="Verdana"/>
          <w:sz w:val="18"/>
          <w:szCs w:val="18"/>
          <w:lang w:val="es-ES_tradnl"/>
        </w:rPr>
      </w:pP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Nume, prenume:                                                                             </w:t>
      </w: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List Paragraph"/>
        <w:spacing w:after="0" w:line="240" w:lineRule="auto"/>
        <w:ind w:left="700" w:right="299" w:firstLine="0"/>
        <w:jc w:val="both"/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Semn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en-US"/>
        </w:rPr>
        <w:t>ă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tura:</w:t>
      </w:r>
    </w:p>
    <w:sectPr>
      <w:headerReference w:type="default" r:id="rId4"/>
      <w:footerReference w:type="default" r:id="rId5"/>
      <w:pgSz w:w="12240" w:h="15840" w:orient="portrait"/>
      <w:pgMar w:top="1440" w:right="990" w:bottom="1276" w:left="1080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74929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5210175</wp:posOffset>
          </wp:positionH>
          <wp:positionV relativeFrom="page">
            <wp:posOffset>304800</wp:posOffset>
          </wp:positionV>
          <wp:extent cx="1384300" cy="280671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280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