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600"/>
        <w:gridCol w:w="6007"/>
      </w:tblGrid>
      <w:tr w:rsidR="001D15BD" w:rsidRPr="003B687A" w14:paraId="25299FB1" w14:textId="77777777" w:rsidTr="003B687A">
        <w:tc>
          <w:tcPr>
            <w:tcW w:w="3600" w:type="dxa"/>
          </w:tcPr>
          <w:p w14:paraId="34CB62CE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</w:t>
            </w:r>
            <w:r w:rsidRPr="003B687A">
              <w:rPr>
                <w:rFonts w:cstheme="minorHAnsi"/>
                <w:b/>
                <w:bCs/>
                <w:highlight w:val="yellow"/>
              </w:rPr>
              <w:t>egiunea 1</w:t>
            </w:r>
          </w:p>
          <w:p w14:paraId="6A10200B" w14:textId="11720A20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>Balcanii de Vest</w:t>
            </w:r>
          </w:p>
        </w:tc>
        <w:tc>
          <w:tcPr>
            <w:tcW w:w="6007" w:type="dxa"/>
          </w:tcPr>
          <w:p w14:paraId="07AA23BC" w14:textId="198C1842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Albania, Bosnia și Herțegovina, Kosovo21, Muntenegru</w:t>
            </w:r>
          </w:p>
        </w:tc>
      </w:tr>
      <w:tr w:rsidR="001D15BD" w:rsidRPr="003B687A" w14:paraId="23732599" w14:textId="77777777" w:rsidTr="003B687A">
        <w:tc>
          <w:tcPr>
            <w:tcW w:w="3600" w:type="dxa"/>
          </w:tcPr>
          <w:p w14:paraId="0E92880E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</w:t>
            </w:r>
            <w:r w:rsidRPr="003B687A">
              <w:rPr>
                <w:rFonts w:cstheme="minorHAnsi"/>
                <w:b/>
                <w:bCs/>
                <w:highlight w:val="yellow"/>
              </w:rPr>
              <w:t>egiunea 2</w:t>
            </w:r>
          </w:p>
          <w:p w14:paraId="48E00C36" w14:textId="7F0DC5FC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Vecinătatea estică </w:t>
            </w:r>
          </w:p>
        </w:tc>
        <w:tc>
          <w:tcPr>
            <w:tcW w:w="6007" w:type="dxa"/>
          </w:tcPr>
          <w:p w14:paraId="56415553" w14:textId="3C301EF5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Armenia, Azerbaidjan, Belarus, Georgia, Moldova, teritoriul Ucrainei, astfel cum este recunoscut de dreptul internațional</w:t>
            </w:r>
          </w:p>
        </w:tc>
      </w:tr>
      <w:tr w:rsidR="001D15BD" w:rsidRPr="003B687A" w14:paraId="6AE6F3F6" w14:textId="77777777" w:rsidTr="003B687A">
        <w:tc>
          <w:tcPr>
            <w:tcW w:w="3600" w:type="dxa"/>
          </w:tcPr>
          <w:p w14:paraId="0910EAEF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</w:t>
            </w:r>
            <w:r w:rsidRPr="003B687A">
              <w:rPr>
                <w:rFonts w:cstheme="minorHAnsi"/>
                <w:b/>
                <w:bCs/>
                <w:highlight w:val="yellow"/>
              </w:rPr>
              <w:t>egiunea 3</w:t>
            </w:r>
          </w:p>
          <w:p w14:paraId="13762D43" w14:textId="6911985B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Țările </w:t>
            </w:r>
            <w:proofErr w:type="spellStart"/>
            <w:r w:rsidRPr="003B687A">
              <w:rPr>
                <w:rFonts w:cstheme="minorHAnsi"/>
                <w:b/>
                <w:bCs/>
              </w:rPr>
              <w:t>sudmediteraneene</w:t>
            </w:r>
            <w:proofErr w:type="spellEnd"/>
            <w:r w:rsidRPr="003B687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007" w:type="dxa"/>
          </w:tcPr>
          <w:p w14:paraId="37B30C2D" w14:textId="2D770AD9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 xml:space="preserve"> Algeria, Egipt, Israel, Iordania, Liban, Libia, Maroc, Palestina, Siria, Tunisia</w:t>
            </w:r>
          </w:p>
        </w:tc>
      </w:tr>
      <w:tr w:rsidR="001D15BD" w:rsidRPr="003B687A" w14:paraId="55236FCD" w14:textId="77777777" w:rsidTr="003B687A">
        <w:tc>
          <w:tcPr>
            <w:tcW w:w="3600" w:type="dxa"/>
          </w:tcPr>
          <w:p w14:paraId="1BAD5A94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</w:t>
            </w:r>
            <w:r w:rsidRPr="003B687A">
              <w:rPr>
                <w:rFonts w:cstheme="minorHAnsi"/>
                <w:b/>
                <w:bCs/>
                <w:highlight w:val="yellow"/>
              </w:rPr>
              <w:t>egiunea 4</w:t>
            </w:r>
          </w:p>
          <w:p w14:paraId="392A0780" w14:textId="77BDE411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Federația Rusă </w:t>
            </w:r>
          </w:p>
        </w:tc>
        <w:tc>
          <w:tcPr>
            <w:tcW w:w="6007" w:type="dxa"/>
          </w:tcPr>
          <w:p w14:paraId="1C6E78F7" w14:textId="4C0E2C5A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Teritoriul Rusiei, astfel cum este recunoscut de dreptul internațional</w:t>
            </w:r>
          </w:p>
        </w:tc>
      </w:tr>
      <w:tr w:rsidR="001D15BD" w:rsidRPr="003B687A" w14:paraId="751A77D6" w14:textId="77777777" w:rsidTr="003B687A">
        <w:tc>
          <w:tcPr>
            <w:tcW w:w="3600" w:type="dxa"/>
          </w:tcPr>
          <w:p w14:paraId="7865D3F8" w14:textId="77777777" w:rsidR="003B687A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5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  <w:p w14:paraId="4B84DDAB" w14:textId="421345B4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>Asia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007" w:type="dxa"/>
          </w:tcPr>
          <w:p w14:paraId="4338CCED" w14:textId="08AC0EB1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Bangladesh, Bhutan, Cambodgia, China, Republica Populară Democrată Coreea, India, Indonezia, Laos, Malaysia, Maldive, Mongolia, Myanmar, Nepal, Pakistan, Filipine, Sri Lanka, Thailanda și Vietnam Țări cu venituri ridicate: Brunei, Hong Kong, Japonia, Coreea, Macao, Singapore și Taiwan</w:t>
            </w:r>
          </w:p>
        </w:tc>
      </w:tr>
      <w:tr w:rsidR="001D15BD" w:rsidRPr="003B687A" w14:paraId="3372175A" w14:textId="77777777" w:rsidTr="003B687A">
        <w:tc>
          <w:tcPr>
            <w:tcW w:w="3600" w:type="dxa"/>
          </w:tcPr>
          <w:p w14:paraId="101C0439" w14:textId="77777777" w:rsidR="003B687A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6</w:t>
            </w:r>
          </w:p>
          <w:p w14:paraId="1374417C" w14:textId="1DDAC943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>Asia Centrală</w:t>
            </w:r>
          </w:p>
        </w:tc>
        <w:tc>
          <w:tcPr>
            <w:tcW w:w="6007" w:type="dxa"/>
          </w:tcPr>
          <w:p w14:paraId="6E00E585" w14:textId="4569FA26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Afganistan, Kazahstan, Kârgâzstan, Tadjikistan, Turkmenistan, Uzbekistan</w:t>
            </w:r>
          </w:p>
        </w:tc>
      </w:tr>
      <w:tr w:rsidR="001D15BD" w:rsidRPr="003B687A" w14:paraId="2BB56EE1" w14:textId="77777777" w:rsidTr="003B687A">
        <w:tc>
          <w:tcPr>
            <w:tcW w:w="3600" w:type="dxa"/>
          </w:tcPr>
          <w:p w14:paraId="02CE5EB0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7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  <w:p w14:paraId="3AF6B13C" w14:textId="25748992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>Orientul Mijlociu</w:t>
            </w:r>
          </w:p>
        </w:tc>
        <w:tc>
          <w:tcPr>
            <w:tcW w:w="6007" w:type="dxa"/>
          </w:tcPr>
          <w:p w14:paraId="24FA26F6" w14:textId="37A7631E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Iran, Irak, Yemen Țări cu venituri ridicate: Bahrain, Kuweit, Oman, Qatar, Arabia Saudită, Emiratele Arabe Unite</w:t>
            </w:r>
          </w:p>
        </w:tc>
      </w:tr>
      <w:tr w:rsidR="001D15BD" w:rsidRPr="003B687A" w14:paraId="70A3E135" w14:textId="77777777" w:rsidTr="003B687A">
        <w:tc>
          <w:tcPr>
            <w:tcW w:w="3600" w:type="dxa"/>
          </w:tcPr>
          <w:p w14:paraId="458254D2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8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  <w:p w14:paraId="6A6B7A76" w14:textId="3945CAD0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Zona Pacificului </w:t>
            </w:r>
          </w:p>
        </w:tc>
        <w:tc>
          <w:tcPr>
            <w:tcW w:w="6007" w:type="dxa"/>
          </w:tcPr>
          <w:p w14:paraId="38460112" w14:textId="0298C18C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Insulele Cook, Fiji, Kiribati, Insulele Marshall, Micronezia, Nauru, Niue, Palau, Papua-Noua Guinee, Samoa, Insulele Solomon, Timorul de Est, Tonga, Tuvalu, Vanuatu Țări cu venituri ridicate: Australia, Noua Zeelandă</w:t>
            </w:r>
          </w:p>
        </w:tc>
      </w:tr>
      <w:tr w:rsidR="001D15BD" w:rsidRPr="003B687A" w14:paraId="7EC6FC57" w14:textId="77777777" w:rsidTr="003B687A">
        <w:tc>
          <w:tcPr>
            <w:tcW w:w="3600" w:type="dxa"/>
          </w:tcPr>
          <w:p w14:paraId="10850010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9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  <w:p w14:paraId="2BB37CED" w14:textId="4AE36420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Africa </w:t>
            </w:r>
            <w:proofErr w:type="spellStart"/>
            <w:r w:rsidRPr="003B687A">
              <w:rPr>
                <w:rFonts w:cstheme="minorHAnsi"/>
                <w:b/>
                <w:bCs/>
              </w:rPr>
              <w:t>Subsahariană</w:t>
            </w:r>
            <w:proofErr w:type="spellEnd"/>
            <w:r w:rsidRPr="003B687A">
              <w:rPr>
                <w:rFonts w:cstheme="minorHAnsi"/>
                <w:b/>
                <w:bCs/>
              </w:rPr>
              <w:t xml:space="preserve"> 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007" w:type="dxa"/>
          </w:tcPr>
          <w:p w14:paraId="1FCC618C" w14:textId="505AA635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Angola, Benin, Botswana, Burkina Faso, Burundi, Camerun, Cabo Verde, Republica Centrafricană, Ciad, Comore, Congo, Republica Democratică Congo, Côte d’Ivoire, Djibouti, Guineea Ecuatorială, Eritreea, Eswatini, Etiopia, Gabon, Gambia, Ghana, Guineea, Guineea</w:t>
            </w:r>
            <w:r w:rsidRPr="003B687A">
              <w:rPr>
                <w:rFonts w:cstheme="minorHAnsi"/>
              </w:rPr>
              <w:t xml:space="preserve">Bissau, Kenya, Lesotho, Liberia, Madagascar, Malawi, Mali, Mauritania, Mauritius, Mozambic, Namibia, Niger, Nigeria, Rwanda, São Tomé și </w:t>
            </w:r>
            <w:proofErr w:type="spellStart"/>
            <w:r w:rsidRPr="003B687A">
              <w:rPr>
                <w:rFonts w:cstheme="minorHAnsi"/>
              </w:rPr>
              <w:t>Príncipe</w:t>
            </w:r>
            <w:proofErr w:type="spellEnd"/>
            <w:r w:rsidRPr="003B687A">
              <w:rPr>
                <w:rFonts w:cstheme="minorHAnsi"/>
              </w:rPr>
              <w:t>, Senegal, Seychelles, Sierra Leone, Somalia, Africa de Sud, Sudanul de Sud, Sudan, Tanzania, Togo, Uganda, Zambia, Zimbabwe</w:t>
            </w:r>
          </w:p>
        </w:tc>
      </w:tr>
      <w:tr w:rsidR="001D15BD" w:rsidRPr="003B687A" w14:paraId="7020ADBE" w14:textId="77777777" w:rsidTr="003B687A">
        <w:tc>
          <w:tcPr>
            <w:tcW w:w="3600" w:type="dxa"/>
          </w:tcPr>
          <w:p w14:paraId="183CD673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10</w:t>
            </w:r>
          </w:p>
          <w:p w14:paraId="647B4309" w14:textId="28BF71B2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America Latină </w:t>
            </w:r>
          </w:p>
        </w:tc>
        <w:tc>
          <w:tcPr>
            <w:tcW w:w="6007" w:type="dxa"/>
          </w:tcPr>
          <w:p w14:paraId="67C79EB7" w14:textId="1FDE285E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Argentina, Bolivia, Brazilia, Chile, Columbia, Costa Rica, Ecuador, El Salvador, Guatemala, Honduras, Mexic, Nicaragua, Panama, Paraguay, Peru, Uruguay și Venezuela</w:t>
            </w:r>
          </w:p>
        </w:tc>
      </w:tr>
      <w:tr w:rsidR="001D15BD" w:rsidRPr="003B687A" w14:paraId="3B09695A" w14:textId="77777777" w:rsidTr="003B687A">
        <w:tc>
          <w:tcPr>
            <w:tcW w:w="3600" w:type="dxa"/>
          </w:tcPr>
          <w:p w14:paraId="514F2005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11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  <w:p w14:paraId="4158D9F9" w14:textId="0C591A35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Caraibi </w:t>
            </w:r>
          </w:p>
        </w:tc>
        <w:tc>
          <w:tcPr>
            <w:tcW w:w="6007" w:type="dxa"/>
          </w:tcPr>
          <w:p w14:paraId="08AEF569" w14:textId="7B732B82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Antigua și Barbuda, Bahamas, Barbados, Belize, Cuba, Dominica, Republica Dominicană, Grenada, Guyana, Haiti, Jamaica, Saint Kitts și Nevis, Saint Lucia, Saint Vincent și Grenadinele, Suriname și Trinidad și Tobago</w:t>
            </w:r>
          </w:p>
        </w:tc>
      </w:tr>
      <w:tr w:rsidR="001D15BD" w:rsidRPr="003B687A" w14:paraId="7A3ACEA9" w14:textId="77777777" w:rsidTr="003B687A">
        <w:tc>
          <w:tcPr>
            <w:tcW w:w="3600" w:type="dxa"/>
          </w:tcPr>
          <w:p w14:paraId="232D7D7F" w14:textId="77777777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  <w:highlight w:val="yellow"/>
              </w:rPr>
              <w:t>Regiunea 12</w:t>
            </w:r>
            <w:r w:rsidRPr="003B687A">
              <w:rPr>
                <w:rFonts w:cstheme="minorHAnsi"/>
                <w:b/>
                <w:bCs/>
              </w:rPr>
              <w:t xml:space="preserve"> </w:t>
            </w:r>
          </w:p>
          <w:p w14:paraId="5EFB80EF" w14:textId="06F94089" w:rsidR="003B687A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SUA și Canada </w:t>
            </w:r>
          </w:p>
          <w:p w14:paraId="2FA92B91" w14:textId="06F904DA" w:rsidR="001D15BD" w:rsidRPr="003B687A" w:rsidRDefault="001D15BD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007" w:type="dxa"/>
          </w:tcPr>
          <w:p w14:paraId="07F918D8" w14:textId="1A3BE628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</w:rPr>
            </w:pPr>
            <w:r w:rsidRPr="003B687A">
              <w:rPr>
                <w:rFonts w:cstheme="minorHAnsi"/>
              </w:rPr>
              <w:t>Statele Unite ale Americii, Canada</w:t>
            </w:r>
          </w:p>
        </w:tc>
      </w:tr>
      <w:tr w:rsidR="001D15BD" w:rsidRPr="003B687A" w14:paraId="763FBF48" w14:textId="77777777" w:rsidTr="003B687A">
        <w:tc>
          <w:tcPr>
            <w:tcW w:w="3600" w:type="dxa"/>
            <w:shd w:val="clear" w:color="auto" w:fill="FBE4D5" w:themeFill="accent2" w:themeFillTint="33"/>
          </w:tcPr>
          <w:p w14:paraId="5C14F824" w14:textId="064BB2DB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Regiunea 13 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2B805B6A" w14:textId="21192F56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>Andorra, Monaco, San Marino, Statul Cetății Vaticanului</w:t>
            </w:r>
          </w:p>
        </w:tc>
      </w:tr>
      <w:tr w:rsidR="001D15BD" w:rsidRPr="003B687A" w14:paraId="1EB75CF3" w14:textId="77777777" w:rsidTr="003B687A">
        <w:tc>
          <w:tcPr>
            <w:tcW w:w="3600" w:type="dxa"/>
            <w:shd w:val="clear" w:color="auto" w:fill="FBE4D5" w:themeFill="accent2" w:themeFillTint="33"/>
          </w:tcPr>
          <w:p w14:paraId="473AFEBF" w14:textId="00D1F74A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 xml:space="preserve">Regiunea 14 </w:t>
            </w:r>
          </w:p>
        </w:tc>
        <w:tc>
          <w:tcPr>
            <w:tcW w:w="6007" w:type="dxa"/>
            <w:shd w:val="clear" w:color="auto" w:fill="FBE4D5" w:themeFill="accent2" w:themeFillTint="33"/>
          </w:tcPr>
          <w:p w14:paraId="3D4BC452" w14:textId="12087B5C" w:rsidR="001D15BD" w:rsidRPr="003B687A" w:rsidRDefault="003B687A" w:rsidP="003B687A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B687A">
              <w:rPr>
                <w:rFonts w:cstheme="minorHAnsi"/>
                <w:b/>
                <w:bCs/>
              </w:rPr>
              <w:t>Insulele Feroe, Elveția, Regatul Unit</w:t>
            </w:r>
          </w:p>
        </w:tc>
      </w:tr>
    </w:tbl>
    <w:p w14:paraId="09890452" w14:textId="77777777" w:rsidR="000C0326" w:rsidRPr="003B687A" w:rsidRDefault="00000000" w:rsidP="003B687A">
      <w:pPr>
        <w:spacing w:line="276" w:lineRule="auto"/>
        <w:jc w:val="both"/>
        <w:rPr>
          <w:rFonts w:cstheme="minorHAnsi"/>
        </w:rPr>
      </w:pPr>
    </w:p>
    <w:sectPr w:rsidR="000C0326" w:rsidRPr="003B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8"/>
    <w:rsid w:val="00001758"/>
    <w:rsid w:val="000B1595"/>
    <w:rsid w:val="001D15BD"/>
    <w:rsid w:val="00232784"/>
    <w:rsid w:val="003735FB"/>
    <w:rsid w:val="003966DB"/>
    <w:rsid w:val="003B687A"/>
    <w:rsid w:val="00741B5E"/>
    <w:rsid w:val="00764918"/>
    <w:rsid w:val="008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AE01"/>
  <w15:chartTrackingRefBased/>
  <w15:docId w15:val="{CAD95621-2DF3-4CF0-B400-64D239A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petronela.spiridon</dc:creator>
  <cp:keywords/>
  <dc:description/>
  <cp:lastModifiedBy>petronela.spiridon</cp:lastModifiedBy>
  <cp:revision>3</cp:revision>
  <dcterms:created xsi:type="dcterms:W3CDTF">2023-06-07T12:18:00Z</dcterms:created>
  <dcterms:modified xsi:type="dcterms:W3CDTF">2023-06-07T12:31:00Z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61be1beaa724ed3cca7bb7576bae5661dbc5565cd8646a5471eef7f6cfe6ad56</vt:lpwstr>
  </property>
</Properties>
</file>