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w:t>
      </w:r>
    </w:p>
    <w:p>
      <w:pPr>
        <w:pStyle w:val="annotation text"/>
        <w:tabs>
          <w:tab w:val="left" w:pos="2552"/>
          <w:tab w:val="left" w:pos="3686"/>
          <w:tab w:val="left" w:pos="5954"/>
        </w:tabs>
        <w:spacing w:after="0"/>
        <w:rPr>
          <w:rFonts w:ascii="Verdana" w:cs="Verdana" w:hAnsi="Verdana" w:eastAsia="Verdana"/>
          <w:i w:val="1"/>
          <w:iCs w:val="1"/>
          <w:sz w:val="18"/>
          <w:szCs w:val="18"/>
          <w:lang w:val="en-US"/>
        </w:rPr>
      </w:pPr>
      <w:r>
        <w:rPr>
          <w:rFonts w:ascii="Verdana" w:cs="Verdana" w:hAnsi="Verdana" w:eastAsia="Verdana"/>
          <w:rtl w:val="0"/>
          <w:lang w:val="en-US"/>
        </w:rPr>
        <w:tab/>
        <w:tab/>
        <w:t xml:space="preserve">from </w:t>
      </w:r>
      <w:r>
        <w:rPr>
          <w:rFonts w:ascii="Verdana" w:hAnsi="Verdana"/>
          <w:b w:val="1"/>
          <w:bCs w:val="1"/>
          <w:i w:val="1"/>
          <w:iCs w:val="1"/>
          <w:rtl w:val="0"/>
          <w:lang w:val="en-US"/>
        </w:rPr>
        <w:t>____________</w:t>
      </w:r>
      <w:r>
        <w:rPr>
          <w:rFonts w:ascii="Verdana" w:cs="Verdana" w:hAnsi="Verdana" w:eastAsia="Verdana"/>
          <w:rtl w:val="0"/>
          <w:lang w:val="en-US"/>
        </w:rPr>
        <w:tab/>
        <w:t xml:space="preserve">to </w:t>
      </w:r>
      <w:r>
        <w:rPr>
          <w:rFonts w:ascii="Verdana" w:hAnsi="Verdana"/>
          <w:b w:val="1"/>
          <w:bCs w:val="1"/>
          <w:i w:val="1"/>
          <w:iCs w:val="1"/>
          <w:rtl w:val="0"/>
          <w:lang w:val="en-US"/>
        </w:rPr>
        <w:t>____________</w:t>
      </w:r>
      <w:r>
        <w:rPr>
          <w:rFonts w:ascii="Verdana" w:hAnsi="Verdana"/>
          <w:i w:val="1"/>
          <w:iCs w:val="1"/>
          <w:sz w:val="14"/>
          <w:szCs w:val="14"/>
          <w:rtl w:val="0"/>
          <w:lang w:val="en-US"/>
        </w:rPr>
        <w:t>(day/month/year)</w:t>
      </w:r>
    </w:p>
    <w:p>
      <w:pPr>
        <w:pStyle w:val="annotation text"/>
        <w:tabs>
          <w:tab w:val="left" w:pos="2552"/>
          <w:tab w:val="left" w:pos="3686"/>
          <w:tab w:val="left" w:pos="5954"/>
        </w:tabs>
        <w:spacing w:after="0"/>
        <w:rPr>
          <w:rFonts w:ascii="Verdana" w:cs="Verdana" w:hAnsi="Verdana" w:eastAsia="Verdana"/>
          <w:sz w:val="14"/>
          <w:szCs w:val="14"/>
          <w:lang w:val="en-US"/>
        </w:rPr>
      </w:pPr>
      <w:r>
        <w:rPr>
          <w:rFonts w:ascii="Verdana" w:cs="Verdana" w:hAnsi="Verdana" w:eastAsia="Verdana"/>
          <w:i w:val="1"/>
          <w:iCs w:val="1"/>
          <w:sz w:val="18"/>
          <w:szCs w:val="18"/>
          <w:lang w:val="en-US"/>
        </w:rPr>
        <w:tab/>
        <w:tab/>
      </w:r>
      <w:r>
        <w:rPr>
          <w:rFonts w:ascii="Verdana" w:hAnsi="Verdana"/>
          <w:i w:val="1"/>
          <w:iCs w:val="1"/>
          <w:sz w:val="14"/>
          <w:szCs w:val="14"/>
          <w:rtl w:val="0"/>
          <w:lang w:val="en-US"/>
        </w:rPr>
        <w:t xml:space="preserve">     (first day of teaching activity)  (last day of teaching activity)</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Note: </w:t>
      </w:r>
      <w:r>
        <w:rPr>
          <w:rFonts w:ascii="Verdana" w:hAnsi="Verdana"/>
          <w:i w:val="1"/>
          <w:iCs w:val="1"/>
          <w:rtl w:val="0"/>
          <w:lang w:val="en-US"/>
        </w:rPr>
        <w:t>Working days</w:t>
      </w:r>
      <w:r>
        <w:rPr>
          <w:rFonts w:ascii="Verdana" w:hAnsi="Verdana"/>
          <w:rtl w:val="0"/>
          <w:lang w:val="en-US"/>
        </w:rPr>
        <w:t xml:space="preserve"> in Romania are from </w:t>
      </w:r>
      <w:r>
        <w:rPr>
          <w:rFonts w:ascii="Verdana" w:hAnsi="Verdana"/>
          <w:i w:val="1"/>
          <w:iCs w:val="1"/>
          <w:rtl w:val="0"/>
          <w:lang w:val="en-US"/>
        </w:rPr>
        <w:t>Monday to Friday</w:t>
      </w:r>
      <w:r>
        <w:rPr>
          <w:rFonts w:ascii="Verdana" w:hAnsi="Verdana"/>
          <w:rtl w:val="0"/>
          <w:lang w:val="en-US"/>
        </w:rPr>
        <w:t xml:space="preserve">. The </w:t>
      </w:r>
      <w:r>
        <w:rPr>
          <w:rFonts w:ascii="Verdana" w:hAnsi="Verdana"/>
          <w:i w:val="1"/>
          <w:iCs w:val="1"/>
          <w:rtl w:val="0"/>
          <w:lang w:val="en-US"/>
        </w:rPr>
        <w:t>minimum eligible duration</w:t>
      </w:r>
      <w:r>
        <w:rPr>
          <w:rFonts w:ascii="Verdana" w:hAnsi="Verdana"/>
          <w:rtl w:val="0"/>
          <w:lang w:val="en-US"/>
        </w:rPr>
        <w:t xml:space="preserve"> of a teaching mobility is of </w:t>
      </w:r>
      <w:r>
        <w:rPr>
          <w:rFonts w:ascii="Verdana" w:hAnsi="Verdana"/>
          <w:i w:val="1"/>
          <w:iCs w:val="1"/>
          <w:rtl w:val="0"/>
          <w:lang w:val="en-US"/>
        </w:rPr>
        <w:t>5 working days.</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rtl w:val="0"/>
          <w:lang w:val="en-US"/>
        </w:rPr>
        <w:t>excluding travel days: _________ days</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77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4"/>
        <w:gridCol w:w="2191"/>
        <w:gridCol w:w="2426"/>
        <w:gridCol w:w="2930"/>
      </w:tblGrid>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252"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sz w:val="20"/>
                <w:szCs w:val="20"/>
                <w:rtl w:val="0"/>
                <w:lang w:val="en-US"/>
              </w:rPr>
              <w:t xml:space="preserve">                                        </w:t>
            </w:r>
          </w:p>
        </w:tc>
      </w:tr>
      <w:tr>
        <w:tblPrEx>
          <w:shd w:val="clear" w:color="auto" w:fill="ced7e7"/>
        </w:tblPrEx>
        <w:trPr>
          <w:trHeight w:val="49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Sex [</w:t>
            </w:r>
            <w:r>
              <w:rPr>
                <w:rFonts w:ascii="Verdana" w:hAnsi="Verdana"/>
                <w:i w:val="1"/>
                <w:iCs w:val="1"/>
                <w:sz w:val="20"/>
                <w:szCs w:val="20"/>
                <w:rtl w:val="0"/>
                <w:lang w:val="en-US"/>
              </w:rPr>
              <w:t>M/F/Undefined</w:t>
            </w:r>
            <w:r>
              <w:rPr>
                <w:rFonts w:ascii="Verdana" w:hAnsi="Verdana"/>
                <w:sz w:val="20"/>
                <w:szCs w:val="20"/>
                <w:rtl w:val="0"/>
                <w:lang w:val="en-US"/>
              </w:rPr>
              <w:t>]</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 xml:space="preserve">202  /202   </w:t>
            </w:r>
          </w:p>
        </w:tc>
      </w:tr>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75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9"/>
        <w:gridCol w:w="2202"/>
        <w:gridCol w:w="2450"/>
        <w:gridCol w:w="2923"/>
      </w:tblGrid>
      <w:tr>
        <w:tblPrEx>
          <w:shd w:val="clear" w:color="auto" w:fill="ced7e7"/>
        </w:tblPrEx>
        <w:trPr>
          <w:trHeight w:val="255" w:hRule="atLeast"/>
        </w:trPr>
        <w:tc>
          <w:tcPr>
            <w:tcW w:type="dxa" w:w="219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757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14"/>
            </w:tcMar>
            <w:vAlign w:val="top"/>
          </w:tcPr>
          <w:p>
            <w:pPr>
              <w:pStyle w:val="Corp"/>
              <w:shd w:val="clear" w:color="auto" w:fill="ffffff"/>
              <w:tabs>
                <w:tab w:val="left" w:pos="40"/>
              </w:tabs>
              <w:ind w:right="34"/>
              <w:jc w:val="left"/>
            </w:pPr>
            <w:r>
              <w:rPr>
                <w:rFonts w:ascii="Verdana" w:hAnsi="Verdana"/>
                <w:b w:val="1"/>
                <w:bCs w:val="1"/>
                <w:color w:val="002060"/>
                <w:sz w:val="20"/>
                <w:szCs w:val="20"/>
                <w:u w:color="002060"/>
                <w:rtl w:val="0"/>
                <w:lang w:val="en-US"/>
              </w:rPr>
              <w:t>Alexandru Ioan Cuza University of Iasi</w:t>
            </w:r>
          </w:p>
        </w:tc>
      </w:tr>
      <w:tr>
        <w:tblPrEx>
          <w:shd w:val="clear" w:color="auto" w:fill="ced7e7"/>
        </w:tblPrEx>
        <w:trPr>
          <w:trHeight w:val="69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0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44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92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73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Bd. Carol I, No.11, 700506, Iasi, Romania</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ROMANIA - RO</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fr-FR"/>
              </w:rPr>
              <w:t xml:space="preserve">                                </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Type of enterprise:</w:t>
            </w:r>
            <w:r>
              <w:rPr>
                <w:rFonts w:ascii="Verdana" w:cs="Verdana" w:hAnsi="Verdana" w:eastAsia="Verdana"/>
                <w:sz w:val="20"/>
                <w:szCs w:val="20"/>
              </w:rPr>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color w:val="002060"/>
                <w:sz w:val="20"/>
                <w:szCs w:val="20"/>
                <w:u w:color="002060"/>
              </w:rPr>
            </w:pPr>
            <w:r>
              <w:rPr>
                <w:rFonts w:ascii="Verdana" w:hAnsi="Verdana"/>
                <w:color w:val="002060"/>
                <w:sz w:val="20"/>
                <w:szCs w:val="20"/>
                <w:u w:color="002060"/>
                <w:rtl w:val="0"/>
                <w:lang w:val="fr-FR"/>
              </w:rPr>
              <w:t>P EDUCATION</w:t>
            </w:r>
          </w:p>
          <w:p>
            <w:pPr>
              <w:pStyle w:val="Corp"/>
              <w:shd w:val="clear" w:color="auto" w:fill="ffffff"/>
              <w:bidi w:val="0"/>
              <w:spacing w:after="0"/>
              <w:ind w:left="0" w:right="0" w:firstLine="0"/>
              <w:jc w:val="left"/>
              <w:rPr>
                <w:rtl w:val="0"/>
              </w:rPr>
            </w:pPr>
            <w:r>
              <w:rPr>
                <w:rFonts w:ascii="Verdana" w:cs="Verdana" w:hAnsi="Verdana" w:eastAsia="Verdana"/>
                <w:color w:val="002060"/>
                <w:sz w:val="20"/>
                <w:szCs w:val="20"/>
                <w:u w:color="002060"/>
                <w:rtl w:val="0"/>
                <w:lang w:val="fr-FR"/>
              </w:rPr>
              <w:tab/>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97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07"/>
        <w:gridCol w:w="2236"/>
        <w:gridCol w:w="2405"/>
        <w:gridCol w:w="2917"/>
      </w:tblGrid>
      <w:tr>
        <w:tblPrEx>
          <w:shd w:val="clear" w:color="auto" w:fill="ced7e7"/>
        </w:tblPrEx>
        <w:trPr>
          <w:trHeight w:val="25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7558"/>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6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N/A</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Faculty/Department</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ind w:right="34"/>
              <w:jc w:val="left"/>
            </w:pPr>
            <w:r>
              <w:rPr>
                <w:rFonts w:ascii="Verdana" w:hAnsi="Verdana"/>
                <w:color w:val="002060"/>
                <w:sz w:val="20"/>
                <w:szCs w:val="20"/>
                <w:u w:color="00206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spacing w:after="120"/>
              <w:ind w:right="34"/>
              <w:jc w:val="left"/>
            </w:pPr>
            <w:r>
              <w:rPr>
                <w:rFonts w:ascii="Verdana" w:hAnsi="Verdana"/>
                <w:sz w:val="20"/>
                <w:szCs w:val="2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fr-FR"/>
              </w:rPr>
              <w:t xml:space="preserve">                               </w:t>
            </w: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spacing w:before="120" w:after="0"/>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 xml:space="preserve">………………… </w:t>
      </w:r>
      <w:r>
        <w:rPr>
          <w:rFonts w:ascii="Verdana" w:hAnsi="Verdana"/>
          <w:rtl w:val="0"/>
          <w:lang w:val="en-US"/>
        </w:rPr>
        <w:t>(ISCED code)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Short cycle (EQF level 5);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Bachelor or equivalent first cycle (EQF level 6);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Master or equivalent second cycle (EQF level 7);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Doctoral or equivalent third cycle (EQF level 8). </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96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4"/>
      </w:tblGrid>
      <w:tr>
        <w:tblPrEx>
          <w:shd w:val="clear" w:color="auto" w:fill="ced7e7"/>
        </w:tblPrEx>
        <w:trPr>
          <w:trHeight w:val="1695" w:hRule="atLeast"/>
        </w:trPr>
        <w:tc>
          <w:tcPr>
            <w:tcW w:type="dxa" w:w="96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68"/>
      </w:tblGrid>
      <w:tr>
        <w:tblPrEx>
          <w:shd w:val="clear" w:color="auto" w:fill="ced7e7"/>
        </w:tblPrEx>
        <w:trPr>
          <w:trHeight w:val="1695" w:hRule="atLeast"/>
        </w:trPr>
        <w:tc>
          <w:tcPr>
            <w:tcW w:type="dxa" w:w="96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9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60"/>
      </w:tblGrid>
      <w:tr>
        <w:tblPrEx>
          <w:shd w:val="clear" w:color="auto" w:fill="ced7e7"/>
        </w:tblPrEx>
        <w:trPr>
          <w:trHeight w:val="1335" w:hRule="atLeast"/>
        </w:trPr>
        <w:tc>
          <w:tcPr>
            <w:tcW w:type="dxa" w:w="9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w:t>
            </w:r>
          </w:p>
          <w:p>
            <w:pPr>
              <w:pStyle w:val="Corp"/>
              <w:tabs>
                <w:tab w:val="left" w:pos="6165"/>
              </w:tabs>
              <w:spacing w:after="120"/>
              <w:rPr>
                <w:rFonts w:ascii="Verdana" w:cs="Verdana" w:hAnsi="Verdana" w:eastAsia="Verdana"/>
                <w:sz w:val="20"/>
                <w:szCs w:val="20"/>
                <w:lang w:val="en-US"/>
              </w:rPr>
            </w:pPr>
          </w:p>
          <w:p>
            <w:pPr>
              <w:pStyle w:val="Corp"/>
              <w:tabs>
                <w:tab w:val="left" w:pos="6165"/>
              </w:tabs>
              <w:bidi w:val="0"/>
              <w:spacing w:after="12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 xml:space="preserve">Date:                         </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98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06"/>
      </w:tblGrid>
      <w:tr>
        <w:tblPrEx>
          <w:shd w:val="clear" w:color="auto" w:fill="ced7e7"/>
        </w:tblPrEx>
        <w:trPr>
          <w:trHeight w:val="1335" w:hRule="atLeast"/>
        </w:trPr>
        <w:tc>
          <w:tcPr>
            <w:tcW w:type="dxa" w:w="980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48"/>
                <w:tab w:val="left" w:pos="6183"/>
                <w:tab w:val="left" w:pos="6892"/>
              </w:tabs>
              <w:spacing w:after="120"/>
              <w:rPr>
                <w:rFonts w:ascii="Verdana" w:cs="Verdana" w:hAnsi="Verdana" w:eastAsia="Verdana"/>
                <w:sz w:val="20"/>
                <w:szCs w:val="20"/>
                <w:lang w:val="en-US"/>
              </w:rPr>
            </w:pPr>
          </w:p>
          <w:p>
            <w:pPr>
              <w:pStyle w:val="Corp"/>
              <w:tabs>
                <w:tab w:val="left" w:pos="3348"/>
                <w:tab w:val="left" w:pos="6183"/>
                <w:tab w:val="left" w:pos="6892"/>
              </w:tabs>
              <w:bidi w:val="0"/>
              <w:spacing w:after="12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98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8"/>
      </w:tblGrid>
      <w:tr>
        <w:tblPrEx>
          <w:shd w:val="clear" w:color="auto" w:fill="ced7e7"/>
        </w:tblPrEx>
        <w:trPr>
          <w:trHeight w:val="1335" w:hRule="atLeast"/>
        </w:trPr>
        <w:tc>
          <w:tcPr>
            <w:tcW w:type="dxa" w:w="98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12"/>
                <w:tab w:val="left" w:pos="6147"/>
                <w:tab w:val="left" w:pos="6856"/>
              </w:tabs>
              <w:spacing w:after="120"/>
              <w:rPr>
                <w:rFonts w:ascii="Verdana" w:cs="Verdana" w:hAnsi="Verdana" w:eastAsia="Verdana"/>
                <w:sz w:val="20"/>
                <w:szCs w:val="20"/>
                <w:lang w:val="en-US"/>
              </w:rPr>
            </w:pPr>
          </w:p>
          <w:p>
            <w:pPr>
              <w:pStyle w:val="Corp"/>
              <w:tabs>
                <w:tab w:val="left" w:pos="3312"/>
                <w:tab w:val="left" w:pos="6147"/>
                <w:tab w:val="left" w:pos="6856"/>
              </w:tabs>
              <w:bidi w:val="0"/>
              <w:spacing w:after="120"/>
              <w:ind w:left="0" w:right="0" w:firstLine="0"/>
              <w:jc w:val="both"/>
              <w:rPr>
                <w:rtl w:val="0"/>
              </w:rPr>
            </w:pPr>
            <w:r>
              <w:rPr>
                <w:rFonts w:ascii="Verdana" w:hAnsi="Verdana"/>
                <w:color w:val="000000"/>
                <w:sz w:val="20"/>
                <w:szCs w:val="20"/>
                <w:u w:color="000000"/>
                <w:rtl w:val="0"/>
                <w:lang w:val="en-US"/>
              </w:rPr>
              <w:t xml:space="preserve">Signature: </w:t>
              <w:tab/>
              <w:tab/>
              <w:t xml:space="preserve">Date:                          </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384" w:right="992" w:bottom="1134" w:left="1134" w:header="284" w:footer="253"/>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HEIs, this agreement must be always signed by the staff member, the sending and the receiving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outgoing mobility of invited staff from enterprises to teach in a HEI, this agreement must be signed by the participant; the beneficiary; the HEI receiving the staff member and the enterprise they belong to (four signatures in total). An additional space will be added for signature of the beneficiary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In the case of incoming mobility of invited staff from enterprises to teach in a HEI, it will be sufficient with the signature of the staff member, the beneficiary HEI and the sending organisation (three signatures in total).</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w:t>
      </w:r>
      <w:r>
        <w:rPr>
          <w:rFonts w:ascii="Verdana" w:hAnsi="Verdana"/>
          <w:b w:val="1"/>
          <w:bCs w:val="1"/>
          <w:sz w:val="16"/>
          <w:szCs w:val="16"/>
          <w:rtl w:val="0"/>
          <w:lang w:val="en-US"/>
        </w:rPr>
        <w:t>enterprise</w:t>
      </w:r>
      <w:r>
        <w:rPr>
          <w:rFonts w:ascii="Verdana" w:hAnsi="Verdana"/>
          <w:sz w:val="16"/>
          <w:szCs w:val="16"/>
          <w:rtl w:val="0"/>
          <w:lang w:val="en-US"/>
        </w:rPr>
        <w:t xml:space="preserve"> or, more generally, any public or private organisation active in the labour market or in the fields of education, training and youth.</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beneficiary institution.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741680</wp:posOffset>
              </wp:positionH>
              <wp:positionV relativeFrom="page">
                <wp:posOffset>204136</wp:posOffset>
              </wp:positionV>
              <wp:extent cx="1728470" cy="602616"/>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6"/>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8.4pt;margin-top:16.1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720090</wp:posOffset>
          </wp:positionH>
          <wp:positionV relativeFrom="page">
            <wp:posOffset>243840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