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tabs>
          <w:tab w:val="right" w:pos="8280"/>
        </w:tabs>
        <w:spacing w:after="0"/>
        <w:jc w:val="center"/>
        <w:rPr>
          <w:rFonts w:ascii="Verdana" w:cs="Verdana" w:hAnsi="Verdana" w:eastAsia="Verdana"/>
          <w:caps w:val="1"/>
          <w:color w:val="002060"/>
          <w:sz w:val="20"/>
          <w:szCs w:val="20"/>
          <w:u w:color="002060"/>
          <w:lang w:val="en-US"/>
        </w:rPr>
      </w:pP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rtl w:val="0"/>
          <w:lang w:val="en-US"/>
        </w:rPr>
        <w:t xml:space="preserve">excluding travel days: </w:t>
      </w:r>
      <w:r>
        <w:rPr>
          <w:rFonts w:ascii="Verdana" w:hAnsi="Verdana" w:hint="default"/>
          <w:rtl w:val="0"/>
          <w:lang w:val="en-US"/>
        </w:rPr>
        <w:t>…………………</w:t>
      </w:r>
      <w:r>
        <w:rPr>
          <w:rFonts w:ascii="Verdana" w:hAnsi="Verdana"/>
          <w:rtl w:val="0"/>
          <w:lang w:val="en-US"/>
        </w:rPr>
        <w:t xml:space="preserve">. </w:t>
      </w:r>
    </w:p>
    <w:p>
      <w:pPr>
        <w:pStyle w:val="Corp"/>
        <w:jc w:val="left"/>
        <w:rPr>
          <w:rFonts w:ascii="Verdana" w:cs="Verdana" w:hAnsi="Verdana" w:eastAsia="Verdana"/>
          <w:b w:val="1"/>
          <w:bCs w:val="1"/>
          <w:color w:val="002060"/>
          <w:sz w:val="20"/>
          <w:szCs w:val="20"/>
          <w:u w:color="002060"/>
          <w:lang w:val="en-US"/>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90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9"/>
        <w:gridCol w:w="2654"/>
        <w:gridCol w:w="1820"/>
        <w:gridCol w:w="1861"/>
      </w:tblGrid>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1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2"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1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26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1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20../20..</w:t>
            </w:r>
          </w:p>
        </w:tc>
      </w:tr>
      <w:tr>
        <w:tblPrEx>
          <w:shd w:val="clear" w:color="auto" w:fill="ced7e7"/>
        </w:tblPrEx>
        <w:trPr>
          <w:trHeight w:val="250" w:hRule="atLeast"/>
        </w:trPr>
        <w:tc>
          <w:tcPr>
            <w:tcW w:type="dxa" w:w="2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633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89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28"/>
        <w:gridCol w:w="2228"/>
        <w:gridCol w:w="2228"/>
        <w:gridCol w:w="2228"/>
      </w:tblGrid>
      <w:tr>
        <w:tblPrEx>
          <w:shd w:val="clear" w:color="auto" w:fill="ced7e7"/>
        </w:tblPrEx>
        <w:trPr>
          <w:trHeight w:val="25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6684"/>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89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2"/>
        <w:gridCol w:w="2271"/>
        <w:gridCol w:w="2268"/>
        <w:gridCol w:w="2157"/>
      </w:tblGrid>
      <w:tr>
        <w:tblPrEx>
          <w:shd w:val="clear" w:color="auto" w:fill="ced7e7"/>
        </w:tblPrEx>
        <w:trPr>
          <w:trHeight w:val="25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6696"/>
            <w:gridSpan w:val="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71"/>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0"/>
                <w:bCs w:val="0"/>
                <w:color w:val="000000"/>
                <w:sz w:val="20"/>
                <w:szCs w:val="20"/>
                <w:u w:color="000000"/>
                <w:rtl w:val="0"/>
                <w:lang w:val="en-US"/>
              </w:rPr>
              <w:t>Faculty/Department</w:t>
            </w:r>
          </w:p>
        </w:tc>
        <w:tc>
          <w:tcPr>
            <w:tcW w:type="dxa" w:w="215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5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7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jc w:val="left"/>
        <w:rPr>
          <w:rFonts w:ascii="Verdana" w:cs="Verdana" w:hAnsi="Verdana" w:eastAsia="Verdana"/>
          <w:sz w:val="20"/>
          <w:szCs w:val="20"/>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w:t>
      </w:r>
      <w:r>
        <w:rPr>
          <w:rFonts w:ascii="Verdana" w:hAnsi="Verdana"/>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Short cycle (EQF level 5) </w:t>
      </w:r>
      <w:r>
        <w:rPr>
          <w:rFonts w:ascii="MS Gothic" w:cs="MS Gothic" w:hAnsi="MS Gothic" w:eastAsia="MS Gothic"/>
          <w:rtl w:val="0"/>
          <w:lang w:val="en-US"/>
        </w:rPr>
        <w:t>☐</w:t>
      </w:r>
      <w:r>
        <w:rPr>
          <w:rFonts w:ascii="Verdana" w:hAnsi="Verdana"/>
          <w:rtl w:val="0"/>
          <w:lang w:val="en-US"/>
        </w:rPr>
        <w:t xml:space="preserve">; Bachelor or equivalent first cycle (EQF level 6) </w:t>
      </w:r>
      <w:r>
        <w:rPr>
          <w:rFonts w:ascii="MS Gothic" w:cs="MS Gothic" w:hAnsi="MS Gothic" w:eastAsia="MS Gothic"/>
          <w:rtl w:val="0"/>
          <w:lang w:val="en-US"/>
        </w:rPr>
        <w:t>☐</w:t>
      </w:r>
      <w:r>
        <w:rPr>
          <w:rFonts w:ascii="Verdana" w:hAnsi="Verdana"/>
          <w:rtl w:val="0"/>
          <w:lang w:val="en-US"/>
        </w:rPr>
        <w:t xml:space="preserve">; Master or equivalent second cycle (EQF level 7) </w:t>
      </w:r>
      <w:r>
        <w:rPr>
          <w:rFonts w:ascii="MS Gothic" w:cs="MS Gothic" w:hAnsi="MS Gothic" w:eastAsia="MS Gothic"/>
          <w:rtl w:val="0"/>
          <w:lang w:val="en-US"/>
        </w:rPr>
        <w:t>☐</w:t>
      </w:r>
      <w:r>
        <w:rPr>
          <w:rFonts w:ascii="Verdana" w:hAnsi="Verdana"/>
          <w:rtl w:val="0"/>
          <w:lang w:val="en-US"/>
        </w:rPr>
        <w:t xml:space="preserve">; Doctoral or equivalent third cycle (EQF level 8) </w:t>
      </w:r>
      <w:r>
        <w:rPr>
          <w:rFonts w:ascii="MS Gothic" w:cs="MS Gothic" w:hAnsi="MS Gothic" w:eastAsia="MS Gothic"/>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9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pPr>
            <w:r>
              <w:rPr>
                <w:rFonts w:ascii="Verdana" w:cs="Verdana" w:hAnsi="Verdana" w:eastAsia="Verdana"/>
                <w:b w:val="1"/>
                <w:bCs w:val="1"/>
                <w:sz w:val="20"/>
                <w:szCs w:val="20"/>
                <w:lang w:val="en-US"/>
              </w:rPr>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05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Content of the teaching programme:</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97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tab/>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w:t>
      </w:r>
      <w:r>
        <w:rPr>
          <w:rFonts w:ascii="Verdana" w:hAnsi="Verdana"/>
          <w:b w:val="1"/>
          <w:bCs w:val="1"/>
          <w:sz w:val="16"/>
          <w:szCs w:val="16"/>
          <w:rtl w:val="0"/>
          <w:lang w:val="en-US"/>
        </w:rPr>
        <w:t>Programme and Partner Country HEIs</w:t>
      </w:r>
      <w:r>
        <w:rPr>
          <w:rFonts w:ascii="Verdana" w:hAnsi="Verdana"/>
          <w:sz w:val="16"/>
          <w:szCs w:val="16"/>
          <w:rtl w:val="0"/>
          <w:lang w:val="en-US"/>
        </w:rPr>
        <w:t xml:space="preserve">, this agreement must be always signed by the staff member, the Programme Country HEI and the Partner Country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invited staff from enterprises to teach in Partner Country HEIs</w:t>
      </w:r>
      <w:r>
        <w:rPr>
          <w:rFonts w:ascii="Verdana" w:hAnsi="Verdana"/>
          <w:sz w:val="16"/>
          <w:szCs w:val="16"/>
          <w:rtl w:val="0"/>
          <w:lang w:val="en-US"/>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For </w:t>
      </w:r>
      <w:r>
        <w:rPr>
          <w:rFonts w:ascii="Verdana" w:hAnsi="Verdana"/>
          <w:b w:val="1"/>
          <w:bCs w:val="1"/>
          <w:sz w:val="16"/>
          <w:szCs w:val="16"/>
          <w:rtl w:val="0"/>
          <w:lang w:val="en-US"/>
        </w:rPr>
        <w:t>invited staff from enterprises to teach in Programme Country HEIs</w:t>
      </w:r>
      <w:r>
        <w:rPr>
          <w:rFonts w:ascii="Verdana" w:hAnsi="Verdana"/>
          <w:sz w:val="16"/>
          <w:szCs w:val="16"/>
          <w:rtl w:val="0"/>
          <w:lang w:val="en-US"/>
        </w:rPr>
        <w:t>, it will be sufficient with the signature of the staff member, the Programme Country HEI and the sending organisation (three signatures in total, same as in mobility between Programme Countries).</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or Partner Country enterprise or, more generally, any public or private organisation active in the labour market or in the fields of education, training and youth .</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